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CF16" w14:textId="2686E188" w:rsidR="005E7C33" w:rsidRDefault="005E7C33" w:rsidP="005E7C33">
      <w:pPr>
        <w:jc w:val="center"/>
      </w:pPr>
      <w:r>
        <w:t>ITEM INFECTIONS CHEZ LES MIGRANTS</w:t>
      </w:r>
    </w:p>
    <w:p w14:paraId="3277E166" w14:textId="6C987EED" w:rsidR="00CE33F2" w:rsidRDefault="00CE33F2" w:rsidP="005E7C33">
      <w:pPr>
        <w:jc w:val="center"/>
      </w:pPr>
      <w:r>
        <w:t xml:space="preserve">1 – </w:t>
      </w:r>
      <w:r w:rsidR="005F0FF9">
        <w:t>PRESENTATION DE LA SITUATION</w:t>
      </w:r>
    </w:p>
    <w:p w14:paraId="3A33EA11" w14:textId="65EBB15B" w:rsidR="00D22B80" w:rsidRDefault="00512E32" w:rsidP="000D33D1">
      <w:pPr>
        <w:jc w:val="both"/>
      </w:pPr>
      <w:r>
        <w:t>Près de 10% de la population française est née à l’étranger et la France accueille chaque année plusieurs centaines de milliers de personnes migrantes primo-arrivantes</w:t>
      </w:r>
      <w:r w:rsidR="00B57D59">
        <w:t xml:space="preserve"> avec des statuts administratifs et des réalités différentes. Une part importante des personnes migrantes</w:t>
      </w:r>
      <w:r>
        <w:t xml:space="preserve"> cumule des facteurs de précarité. Les pathologies infectieuses liées à la précarité (VIH et IST, tuberculose, dermatoses infectieuses, infections respiratoires, etc.) et les pathologies tropicales d’importation </w:t>
      </w:r>
      <w:r w:rsidR="00B57D59">
        <w:t>sont surreprésentées parmi</w:t>
      </w:r>
      <w:r>
        <w:t xml:space="preserve"> </w:t>
      </w:r>
      <w:r w:rsidR="00B57D59">
        <w:t>ces dernières</w:t>
      </w:r>
      <w:r w:rsidR="00C25204">
        <w:t xml:space="preserve">. Ces </w:t>
      </w:r>
      <w:r>
        <w:t>pathologies</w:t>
      </w:r>
      <w:r w:rsidR="00C25204">
        <w:t xml:space="preserve"> sont,</w:t>
      </w:r>
      <w:r>
        <w:t xml:space="preserve"> de surcroit</w:t>
      </w:r>
      <w:r w:rsidR="00C25204">
        <w:t>,</w:t>
      </w:r>
      <w:r>
        <w:t xml:space="preserve"> souvent diagnostiquées à un stade avancé</w:t>
      </w:r>
      <w:r w:rsidR="00C25204">
        <w:t xml:space="preserve"> et associées à d’autres pathologies non transmissibles</w:t>
      </w:r>
      <w:r w:rsidR="00B57D59">
        <w:t xml:space="preserve"> et à de la souffrance psychique</w:t>
      </w:r>
      <w:r>
        <w:t xml:space="preserve">. Un retard au dépistage et à l’accès à la prévention </w:t>
      </w:r>
      <w:r w:rsidR="0017141B">
        <w:t xml:space="preserve">et aux soins </w:t>
      </w:r>
      <w:r>
        <w:t xml:space="preserve">est également </w:t>
      </w:r>
      <w:r w:rsidR="0017141B">
        <w:t xml:space="preserve">souvent </w:t>
      </w:r>
      <w:r>
        <w:t>observé. Les infectiologues, de par leur connaissance de ces pathologies infectieuses, occupent une place privilégiée pour la mise en œuvre de la prévention et de la prise en soin de ces pathologie</w:t>
      </w:r>
      <w:r w:rsidR="00C25204">
        <w:t>s</w:t>
      </w:r>
      <w:r>
        <w:t xml:space="preserve"> en lien avec les autres acteurs des secteurs sanitaire et social.</w:t>
      </w:r>
      <w:r w:rsidR="0017141B">
        <w:t xml:space="preserve"> Il est essentiel qu’ils considèrent la diversité des origines, des parcours migratoires, et des contextes sanitaires auxquels les populations migrantes ont été exposées.</w:t>
      </w:r>
    </w:p>
    <w:p w14:paraId="126591F2" w14:textId="77777777" w:rsidR="005F0FF9" w:rsidRDefault="005F0FF9" w:rsidP="000D33D1">
      <w:pPr>
        <w:jc w:val="both"/>
      </w:pPr>
    </w:p>
    <w:p w14:paraId="5F246D70" w14:textId="15810533" w:rsidR="005F0FF9" w:rsidRDefault="005F0FF9" w:rsidP="005E7C33">
      <w:pPr>
        <w:jc w:val="center"/>
      </w:pPr>
      <w:r>
        <w:t>2- COMPETENCES REQUISES</w:t>
      </w:r>
    </w:p>
    <w:p w14:paraId="2C64CC26" w14:textId="6E65DAB9" w:rsidR="00E80D7E" w:rsidRDefault="00E80D7E" w:rsidP="00B57D59">
      <w:pPr>
        <w:rPr>
          <w:color w:val="000000" w:themeColor="text1"/>
        </w:rPr>
      </w:pPr>
      <w:r w:rsidRPr="000D33D1">
        <w:rPr>
          <w:color w:val="000000" w:themeColor="text1"/>
        </w:rPr>
        <w:t>P</w:t>
      </w:r>
      <w:r w:rsidR="009B67ED" w:rsidRPr="000D33D1">
        <w:rPr>
          <w:color w:val="000000" w:themeColor="text1"/>
        </w:rPr>
        <w:t>révention et p</w:t>
      </w:r>
      <w:r w:rsidRPr="000D33D1">
        <w:rPr>
          <w:color w:val="000000" w:themeColor="text1"/>
        </w:rPr>
        <w:t xml:space="preserve">rise en </w:t>
      </w:r>
      <w:r w:rsidR="009B67ED" w:rsidRPr="000D33D1">
        <w:rPr>
          <w:color w:val="000000" w:themeColor="text1"/>
        </w:rPr>
        <w:t xml:space="preserve">soin </w:t>
      </w:r>
      <w:r w:rsidRPr="000D33D1">
        <w:rPr>
          <w:color w:val="000000" w:themeColor="text1"/>
        </w:rPr>
        <w:t>d</w:t>
      </w:r>
      <w:r w:rsidR="009B67ED" w:rsidRPr="000D33D1">
        <w:rPr>
          <w:color w:val="000000" w:themeColor="text1"/>
        </w:rPr>
        <w:t>es maladies infectieuses chez les personnes</w:t>
      </w:r>
      <w:r w:rsidRPr="000D33D1">
        <w:rPr>
          <w:color w:val="000000" w:themeColor="text1"/>
        </w:rPr>
        <w:t xml:space="preserve"> migrant</w:t>
      </w:r>
      <w:r w:rsidR="009B67ED" w:rsidRPr="000D33D1">
        <w:rPr>
          <w:color w:val="000000" w:themeColor="text1"/>
        </w:rPr>
        <w:t xml:space="preserve">es </w:t>
      </w:r>
      <w:r w:rsidR="00C4051F" w:rsidRPr="000D33D1">
        <w:rPr>
          <w:color w:val="000000" w:themeColor="text1"/>
        </w:rPr>
        <w:t>(et d</w:t>
      </w:r>
      <w:r w:rsidR="009B67ED" w:rsidRPr="000D33D1">
        <w:rPr>
          <w:color w:val="000000" w:themeColor="text1"/>
        </w:rPr>
        <w:t>es autres pathologies associées à la précarité</w:t>
      </w:r>
      <w:r w:rsidR="009D4A2D" w:rsidRPr="000D33D1">
        <w:rPr>
          <w:color w:val="000000" w:themeColor="text1"/>
        </w:rPr>
        <w:t xml:space="preserve"> éventuelle</w:t>
      </w:r>
      <w:r w:rsidR="009B67ED" w:rsidRPr="000D33D1">
        <w:rPr>
          <w:color w:val="000000" w:themeColor="text1"/>
        </w:rPr>
        <w:t>)</w:t>
      </w:r>
    </w:p>
    <w:p w14:paraId="3853F121" w14:textId="5DB5F0D9" w:rsidR="0017141B" w:rsidRDefault="0017141B" w:rsidP="0017141B">
      <w:pPr>
        <w:pStyle w:val="Paragraphedeliste"/>
        <w:numPr>
          <w:ilvl w:val="0"/>
          <w:numId w:val="3"/>
        </w:numPr>
        <w:rPr>
          <w:color w:val="000000" w:themeColor="text1"/>
        </w:rPr>
      </w:pPr>
      <w:r>
        <w:rPr>
          <w:color w:val="000000" w:themeColor="text1"/>
        </w:rPr>
        <w:t>Prise en soin des maladies infectieuses et tropicales</w:t>
      </w:r>
      <w:r w:rsidR="00C409B2">
        <w:rPr>
          <w:color w:val="000000" w:themeColor="text1"/>
        </w:rPr>
        <w:t xml:space="preserve"> (MIT)</w:t>
      </w:r>
    </w:p>
    <w:p w14:paraId="1805D7A7" w14:textId="394283EA" w:rsidR="0017141B" w:rsidRDefault="0017141B" w:rsidP="000D33D1">
      <w:pPr>
        <w:pStyle w:val="Paragraphedeliste"/>
        <w:numPr>
          <w:ilvl w:val="1"/>
          <w:numId w:val="3"/>
        </w:numPr>
        <w:jc w:val="both"/>
        <w:rPr>
          <w:color w:val="000000" w:themeColor="text1"/>
        </w:rPr>
      </w:pPr>
      <w:r>
        <w:rPr>
          <w:color w:val="000000" w:themeColor="text1"/>
        </w:rPr>
        <w:t>Diagnostic, traitement et prise en soin des pathologies d’importation, du VIH, des IST, de la tuberculose et des parasitoses</w:t>
      </w:r>
    </w:p>
    <w:p w14:paraId="47CB74BC" w14:textId="2780FA46" w:rsidR="0017141B" w:rsidRPr="000D33D1" w:rsidRDefault="0017141B" w:rsidP="0017141B">
      <w:pPr>
        <w:pStyle w:val="Paragraphedeliste"/>
        <w:numPr>
          <w:ilvl w:val="1"/>
          <w:numId w:val="3"/>
        </w:numPr>
        <w:jc w:val="both"/>
        <w:rPr>
          <w:color w:val="000000" w:themeColor="text1"/>
        </w:rPr>
      </w:pPr>
      <w:r>
        <w:rPr>
          <w:color w:val="1A171C"/>
        </w:rPr>
        <w:t>C</w:t>
      </w:r>
      <w:r w:rsidRPr="009929D0">
        <w:rPr>
          <w:color w:val="1A171C"/>
        </w:rPr>
        <w:t xml:space="preserve">onnaissances des spécificités de prise en soin </w:t>
      </w:r>
      <w:r>
        <w:rPr>
          <w:color w:val="1A171C"/>
        </w:rPr>
        <w:t>d</w:t>
      </w:r>
      <w:r w:rsidRPr="009929D0">
        <w:rPr>
          <w:color w:val="1A171C"/>
        </w:rPr>
        <w:t>es personnes migrantes (repérage des facteurs de précarité, prise en soin pluridisciplinaire médico-psycho-sociale et juridique, recours à l’interprétariat professionnel en santé et à la médiation en santé, approche transculturelle)</w:t>
      </w:r>
    </w:p>
    <w:p w14:paraId="1A0E0694" w14:textId="53DF9765" w:rsidR="00C409B2" w:rsidRPr="000D33D1" w:rsidRDefault="00C409B2" w:rsidP="00C409B2">
      <w:pPr>
        <w:pStyle w:val="Paragraphedeliste"/>
        <w:numPr>
          <w:ilvl w:val="0"/>
          <w:numId w:val="3"/>
        </w:numPr>
        <w:jc w:val="both"/>
        <w:rPr>
          <w:color w:val="000000" w:themeColor="text1"/>
        </w:rPr>
      </w:pPr>
      <w:r>
        <w:rPr>
          <w:color w:val="1A171C"/>
        </w:rPr>
        <w:t xml:space="preserve">Dépistage et prévention </w:t>
      </w:r>
      <w:r w:rsidRPr="009929D0">
        <w:rPr>
          <w:color w:val="1A171C"/>
        </w:rPr>
        <w:t>chez les personnes</w:t>
      </w:r>
      <w:r w:rsidRPr="009929D0">
        <w:rPr>
          <w:color w:val="1A171C"/>
          <w:spacing w:val="2"/>
        </w:rPr>
        <w:t xml:space="preserve"> </w:t>
      </w:r>
      <w:r w:rsidRPr="009929D0">
        <w:rPr>
          <w:color w:val="1A171C"/>
        </w:rPr>
        <w:t>migrantes</w:t>
      </w:r>
    </w:p>
    <w:p w14:paraId="2F94C9C0" w14:textId="1A4268BA" w:rsidR="00C409B2" w:rsidRPr="000D33D1" w:rsidRDefault="00C409B2" w:rsidP="00C409B2">
      <w:pPr>
        <w:pStyle w:val="Paragraphedeliste"/>
        <w:numPr>
          <w:ilvl w:val="1"/>
          <w:numId w:val="3"/>
        </w:numPr>
        <w:jc w:val="both"/>
        <w:rPr>
          <w:color w:val="000000" w:themeColor="text1"/>
        </w:rPr>
      </w:pPr>
      <w:r w:rsidRPr="009929D0">
        <w:rPr>
          <w:color w:val="1A171C"/>
        </w:rPr>
        <w:t>Maitrise du rattrapage vaccinal en cas de statut inconnu</w:t>
      </w:r>
    </w:p>
    <w:p w14:paraId="47432630" w14:textId="7DE17864" w:rsidR="00C409B2" w:rsidRPr="000D33D1" w:rsidRDefault="00C409B2" w:rsidP="00C409B2">
      <w:pPr>
        <w:pStyle w:val="Paragraphedeliste"/>
        <w:widowControl w:val="0"/>
        <w:numPr>
          <w:ilvl w:val="1"/>
          <w:numId w:val="3"/>
        </w:numPr>
        <w:tabs>
          <w:tab w:val="left" w:pos="391"/>
        </w:tabs>
        <w:autoSpaceDE w:val="0"/>
        <w:autoSpaceDN w:val="0"/>
        <w:spacing w:before="58" w:after="0" w:line="240" w:lineRule="auto"/>
        <w:contextualSpacing w:val="0"/>
        <w:jc w:val="both"/>
      </w:pPr>
      <w:r>
        <w:rPr>
          <w:color w:val="1A171C"/>
        </w:rPr>
        <w:t>D</w:t>
      </w:r>
      <w:r w:rsidRPr="009929D0">
        <w:rPr>
          <w:color w:val="1A171C"/>
        </w:rPr>
        <w:t xml:space="preserve">épistage </w:t>
      </w:r>
      <w:r>
        <w:rPr>
          <w:color w:val="1A171C"/>
        </w:rPr>
        <w:t xml:space="preserve">des MIT </w:t>
      </w:r>
      <w:r w:rsidRPr="009929D0">
        <w:rPr>
          <w:color w:val="1A171C"/>
        </w:rPr>
        <w:t>dans le cadre d’un bilan de santé systématique après l’arrivée pour les primo-arrivants</w:t>
      </w:r>
    </w:p>
    <w:p w14:paraId="4DD493A1" w14:textId="4FD95BB8" w:rsidR="00C409B2" w:rsidRDefault="00C409B2" w:rsidP="00C409B2">
      <w:pPr>
        <w:pStyle w:val="Paragraphedeliste"/>
        <w:widowControl w:val="0"/>
        <w:numPr>
          <w:ilvl w:val="1"/>
          <w:numId w:val="3"/>
        </w:numPr>
        <w:tabs>
          <w:tab w:val="left" w:pos="391"/>
        </w:tabs>
        <w:autoSpaceDE w:val="0"/>
        <w:autoSpaceDN w:val="0"/>
        <w:spacing w:before="58" w:after="0" w:line="240" w:lineRule="auto"/>
        <w:contextualSpacing w:val="0"/>
        <w:jc w:val="both"/>
      </w:pPr>
      <w:r>
        <w:t>Dépistage des violences subies durant le parcours migratoire ou sur le territoire français</w:t>
      </w:r>
    </w:p>
    <w:p w14:paraId="13AF60E2" w14:textId="64E69106" w:rsidR="00C409B2" w:rsidRPr="000D33D1" w:rsidRDefault="00C409B2" w:rsidP="000D33D1">
      <w:pPr>
        <w:pStyle w:val="Paragraphedeliste"/>
        <w:widowControl w:val="0"/>
        <w:numPr>
          <w:ilvl w:val="1"/>
          <w:numId w:val="3"/>
        </w:numPr>
        <w:tabs>
          <w:tab w:val="left" w:pos="391"/>
        </w:tabs>
        <w:autoSpaceDE w:val="0"/>
        <w:autoSpaceDN w:val="0"/>
        <w:spacing w:before="58" w:after="0" w:line="240" w:lineRule="auto"/>
        <w:contextualSpacing w:val="0"/>
        <w:jc w:val="both"/>
      </w:pPr>
      <w:r w:rsidRPr="000D33D1">
        <w:t>Dépistage de la tuberculose active et latente, en lien avec les facteurs de risque liés à la promiscuité</w:t>
      </w:r>
    </w:p>
    <w:p w14:paraId="4A2489A1" w14:textId="5A03A172" w:rsidR="00C409B2" w:rsidRPr="000D33D1" w:rsidRDefault="00C409B2" w:rsidP="000D33D1">
      <w:pPr>
        <w:pStyle w:val="Paragraphedeliste"/>
        <w:widowControl w:val="0"/>
        <w:numPr>
          <w:ilvl w:val="1"/>
          <w:numId w:val="3"/>
        </w:numPr>
        <w:tabs>
          <w:tab w:val="left" w:pos="391"/>
        </w:tabs>
        <w:autoSpaceDE w:val="0"/>
        <w:autoSpaceDN w:val="0"/>
        <w:spacing w:before="58" w:after="0" w:line="240" w:lineRule="auto"/>
        <w:contextualSpacing w:val="0"/>
        <w:jc w:val="both"/>
      </w:pPr>
      <w:r w:rsidRPr="000D33D1">
        <w:t>Évaluation de la santé mentale, avec un focus sur le stress post-traumatique, la dépression et l’anxiété</w:t>
      </w:r>
    </w:p>
    <w:p w14:paraId="682D112E" w14:textId="7A0C7690" w:rsidR="00C409B2" w:rsidRPr="000D33D1" w:rsidRDefault="00C409B2" w:rsidP="000D33D1">
      <w:pPr>
        <w:pStyle w:val="Paragraphedeliste"/>
        <w:widowControl w:val="0"/>
        <w:numPr>
          <w:ilvl w:val="1"/>
          <w:numId w:val="3"/>
        </w:numPr>
        <w:tabs>
          <w:tab w:val="left" w:pos="391"/>
        </w:tabs>
        <w:autoSpaceDE w:val="0"/>
        <w:autoSpaceDN w:val="0"/>
        <w:spacing w:before="58" w:after="0" w:line="240" w:lineRule="auto"/>
        <w:contextualSpacing w:val="0"/>
        <w:jc w:val="both"/>
      </w:pPr>
      <w:r w:rsidRPr="000D33D1">
        <w:t>Dépistage de la précarité et orientation vers les dispositifs sociaux adaptés</w:t>
      </w:r>
    </w:p>
    <w:p w14:paraId="5500B04F" w14:textId="77777777" w:rsidR="00C409B2" w:rsidRPr="000D33D1" w:rsidRDefault="00C409B2" w:rsidP="000D33D1">
      <w:pPr>
        <w:pStyle w:val="Paragraphedeliste"/>
        <w:widowControl w:val="0"/>
        <w:numPr>
          <w:ilvl w:val="1"/>
          <w:numId w:val="3"/>
        </w:numPr>
        <w:tabs>
          <w:tab w:val="left" w:pos="391"/>
        </w:tabs>
        <w:autoSpaceDE w:val="0"/>
        <w:autoSpaceDN w:val="0"/>
        <w:spacing w:before="58" w:after="0" w:line="240" w:lineRule="auto"/>
        <w:contextualSpacing w:val="0"/>
        <w:jc w:val="both"/>
      </w:pPr>
      <w:r w:rsidRPr="000D33D1">
        <w:lastRenderedPageBreak/>
        <w:t>Promotion des règles d’hygiène standard</w:t>
      </w:r>
    </w:p>
    <w:p w14:paraId="1DFD556D" w14:textId="73654DDA" w:rsidR="00C409B2" w:rsidRDefault="00C409B2" w:rsidP="00C409B2">
      <w:pPr>
        <w:pStyle w:val="Paragraphedeliste"/>
        <w:widowControl w:val="0"/>
        <w:numPr>
          <w:ilvl w:val="1"/>
          <w:numId w:val="3"/>
        </w:numPr>
        <w:tabs>
          <w:tab w:val="left" w:pos="391"/>
        </w:tabs>
        <w:autoSpaceDE w:val="0"/>
        <w:autoSpaceDN w:val="0"/>
        <w:spacing w:before="58" w:after="0" w:line="240" w:lineRule="auto"/>
        <w:contextualSpacing w:val="0"/>
        <w:jc w:val="both"/>
      </w:pPr>
      <w:r w:rsidRPr="000D33D1">
        <w:t xml:space="preserve">Déploiement des outils de la prévention en santé sexuelle notamment biomédicaux (PrEP, TPE, traitement des </w:t>
      </w:r>
      <w:proofErr w:type="spellStart"/>
      <w:r w:rsidRPr="000D33D1">
        <w:t>ISTs</w:t>
      </w:r>
      <w:proofErr w:type="spellEnd"/>
      <w:r w:rsidRPr="000D33D1">
        <w:t>, contraception, etc.) et en faisant le lien avec un soutien social adapté</w:t>
      </w:r>
    </w:p>
    <w:p w14:paraId="1068A886" w14:textId="16AE6C74" w:rsidR="00C409B2" w:rsidRDefault="00C409B2" w:rsidP="000D33D1">
      <w:pPr>
        <w:pStyle w:val="Paragraphedeliste"/>
        <w:numPr>
          <w:ilvl w:val="1"/>
          <w:numId w:val="3"/>
        </w:numPr>
      </w:pPr>
      <w:r w:rsidRPr="00C409B2">
        <w:t>Consultation pré-voyage auprès des personnes immigrées retournant au pays d’origine/en zone d’endémie : prévention du paludisme, hygiène, vaccination, santé sexuelle</w:t>
      </w:r>
    </w:p>
    <w:p w14:paraId="43B1049C" w14:textId="1361E3A7" w:rsidR="00C409B2" w:rsidRDefault="00C409B2" w:rsidP="00C409B2">
      <w:pPr>
        <w:pStyle w:val="Paragraphedeliste"/>
        <w:widowControl w:val="0"/>
        <w:numPr>
          <w:ilvl w:val="0"/>
          <w:numId w:val="3"/>
        </w:numPr>
        <w:tabs>
          <w:tab w:val="left" w:pos="391"/>
        </w:tabs>
        <w:autoSpaceDE w:val="0"/>
        <w:autoSpaceDN w:val="0"/>
        <w:spacing w:before="58" w:after="0" w:line="240" w:lineRule="auto"/>
        <w:contextualSpacing w:val="0"/>
        <w:jc w:val="both"/>
      </w:pPr>
      <w:r>
        <w:t>Approche sociale et interculturelle</w:t>
      </w:r>
    </w:p>
    <w:p w14:paraId="00754F65" w14:textId="25BD5C32" w:rsidR="00C409B2" w:rsidRDefault="00C409B2" w:rsidP="00C409B2">
      <w:pPr>
        <w:pStyle w:val="Paragraphedeliste"/>
        <w:widowControl w:val="0"/>
        <w:numPr>
          <w:ilvl w:val="1"/>
          <w:numId w:val="3"/>
        </w:numPr>
        <w:tabs>
          <w:tab w:val="left" w:pos="391"/>
        </w:tabs>
        <w:autoSpaceDE w:val="0"/>
        <w:autoSpaceDN w:val="0"/>
        <w:spacing w:before="58" w:after="0" w:line="240" w:lineRule="auto"/>
        <w:jc w:val="both"/>
      </w:pPr>
      <w:r>
        <w:rPr>
          <w:color w:val="1A171C"/>
        </w:rPr>
        <w:t>R</w:t>
      </w:r>
      <w:r w:rsidRPr="009929D0">
        <w:rPr>
          <w:color w:val="1A171C"/>
        </w:rPr>
        <w:t xml:space="preserve">epérage </w:t>
      </w:r>
      <w:r>
        <w:rPr>
          <w:color w:val="1A171C"/>
        </w:rPr>
        <w:t xml:space="preserve">et prise en compte </w:t>
      </w:r>
      <w:r w:rsidRPr="009929D0">
        <w:rPr>
          <w:color w:val="1A171C"/>
        </w:rPr>
        <w:t>des facteurs de précarité</w:t>
      </w:r>
      <w:r>
        <w:rPr>
          <w:color w:val="1A171C"/>
        </w:rPr>
        <w:t xml:space="preserve"> en soin</w:t>
      </w:r>
    </w:p>
    <w:p w14:paraId="65D1AEC1" w14:textId="40D0992C" w:rsidR="00C409B2" w:rsidRDefault="00C409B2" w:rsidP="00C409B2">
      <w:pPr>
        <w:pStyle w:val="Paragraphedeliste"/>
        <w:widowControl w:val="0"/>
        <w:numPr>
          <w:ilvl w:val="1"/>
          <w:numId w:val="3"/>
        </w:numPr>
        <w:tabs>
          <w:tab w:val="left" w:pos="391"/>
        </w:tabs>
        <w:autoSpaceDE w:val="0"/>
        <w:autoSpaceDN w:val="0"/>
        <w:spacing w:before="58" w:after="0" w:line="240" w:lineRule="auto"/>
        <w:jc w:val="both"/>
      </w:pPr>
      <w:r>
        <w:t>Savoir identifier les besoins sociaux et intégrer une prise en charge en collaboration avec les travailleurs sociaux et les associations.</w:t>
      </w:r>
    </w:p>
    <w:p w14:paraId="2D6746F3" w14:textId="07E1C15D" w:rsidR="00C409B2" w:rsidRDefault="00C409B2" w:rsidP="00C409B2">
      <w:pPr>
        <w:pStyle w:val="Paragraphedeliste"/>
        <w:widowControl w:val="0"/>
        <w:numPr>
          <w:ilvl w:val="1"/>
          <w:numId w:val="3"/>
        </w:numPr>
        <w:tabs>
          <w:tab w:val="left" w:pos="391"/>
        </w:tabs>
        <w:autoSpaceDE w:val="0"/>
        <w:autoSpaceDN w:val="0"/>
        <w:spacing w:before="58" w:after="0" w:line="240" w:lineRule="auto"/>
        <w:jc w:val="both"/>
      </w:pPr>
      <w:r>
        <w:t>Savoir recourir à la médiation en santé pour faciliter les interactions dans un contexte multiculturel</w:t>
      </w:r>
    </w:p>
    <w:p w14:paraId="7AC3AE93" w14:textId="43DFFB4C" w:rsidR="00C409B2" w:rsidRPr="000D33D1" w:rsidRDefault="00C409B2" w:rsidP="00C409B2">
      <w:pPr>
        <w:pStyle w:val="Paragraphedeliste"/>
        <w:widowControl w:val="0"/>
        <w:numPr>
          <w:ilvl w:val="1"/>
          <w:numId w:val="3"/>
        </w:numPr>
        <w:tabs>
          <w:tab w:val="left" w:pos="391"/>
        </w:tabs>
        <w:autoSpaceDE w:val="0"/>
        <w:autoSpaceDN w:val="0"/>
        <w:spacing w:before="58" w:after="0" w:line="240" w:lineRule="auto"/>
        <w:jc w:val="both"/>
      </w:pPr>
      <w:r>
        <w:t>Savoir recourir à l</w:t>
      </w:r>
      <w:r w:rsidRPr="009929D0">
        <w:rPr>
          <w:color w:val="1A171C"/>
        </w:rPr>
        <w:t>’interprétariat professionnel en santé</w:t>
      </w:r>
    </w:p>
    <w:p w14:paraId="02B85F57" w14:textId="419F94BA" w:rsidR="00C409B2" w:rsidRPr="000D33D1" w:rsidRDefault="00C409B2" w:rsidP="00C409B2">
      <w:pPr>
        <w:pStyle w:val="Paragraphedeliste"/>
        <w:widowControl w:val="0"/>
        <w:numPr>
          <w:ilvl w:val="0"/>
          <w:numId w:val="3"/>
        </w:numPr>
        <w:tabs>
          <w:tab w:val="left" w:pos="391"/>
        </w:tabs>
        <w:autoSpaceDE w:val="0"/>
        <w:autoSpaceDN w:val="0"/>
        <w:spacing w:before="58" w:after="0" w:line="240" w:lineRule="auto"/>
        <w:jc w:val="both"/>
      </w:pPr>
      <w:r>
        <w:rPr>
          <w:color w:val="1A171C"/>
        </w:rPr>
        <w:t>Formation et communication</w:t>
      </w:r>
    </w:p>
    <w:p w14:paraId="22197518" w14:textId="0D078294" w:rsidR="00C409B2" w:rsidRPr="009929D0" w:rsidRDefault="00C409B2" w:rsidP="000D33D1">
      <w:pPr>
        <w:pStyle w:val="Paragraphedeliste"/>
        <w:widowControl w:val="0"/>
        <w:numPr>
          <w:ilvl w:val="1"/>
          <w:numId w:val="3"/>
        </w:numPr>
        <w:tabs>
          <w:tab w:val="left" w:pos="391"/>
        </w:tabs>
        <w:autoSpaceDE w:val="0"/>
        <w:autoSpaceDN w:val="0"/>
        <w:spacing w:before="58" w:after="0" w:line="240" w:lineRule="auto"/>
        <w:jc w:val="both"/>
      </w:pPr>
      <w:r>
        <w:t>Développer des compétences en savoir-être dans des contextes multiculturels et souvent marqués par des situations de vulnérabilité extrême.</w:t>
      </w:r>
    </w:p>
    <w:p w14:paraId="5F3C7D77" w14:textId="77777777" w:rsidR="00D22B80" w:rsidRPr="000D33D1" w:rsidRDefault="00D22B80" w:rsidP="000D33D1">
      <w:pPr>
        <w:widowControl w:val="0"/>
        <w:tabs>
          <w:tab w:val="left" w:pos="392"/>
        </w:tabs>
        <w:autoSpaceDE w:val="0"/>
        <w:autoSpaceDN w:val="0"/>
        <w:spacing w:before="58" w:after="0" w:line="240" w:lineRule="auto"/>
        <w:rPr>
          <w:color w:val="1A171C"/>
          <w:sz w:val="18"/>
        </w:rPr>
      </w:pPr>
    </w:p>
    <w:p w14:paraId="1F00DA6E" w14:textId="77777777" w:rsidR="005F0FF9" w:rsidRDefault="005F0FF9" w:rsidP="005E7C33">
      <w:pPr>
        <w:jc w:val="center"/>
      </w:pPr>
    </w:p>
    <w:p w14:paraId="2C2F913A" w14:textId="4E43B600" w:rsidR="00406E2E" w:rsidRDefault="00406E2E" w:rsidP="005E7C33">
      <w:pPr>
        <w:jc w:val="center"/>
      </w:pPr>
      <w:r>
        <w:t>3 – SAVOIR ET SAVOIR FAIRE</w:t>
      </w:r>
    </w:p>
    <w:p w14:paraId="7BF4126F" w14:textId="53DED1E0" w:rsidR="00CE33F2" w:rsidRDefault="002E7449" w:rsidP="005E7C33">
      <w:pPr>
        <w:jc w:val="center"/>
      </w:pPr>
      <w:r>
        <w:rPr>
          <w:noProof/>
          <w:lang w:eastAsia="fr-FR"/>
        </w:rPr>
        <mc:AlternateContent>
          <mc:Choice Requires="wps">
            <w:drawing>
              <wp:anchor distT="0" distB="0" distL="0" distR="0" simplePos="0" relativeHeight="251659264" behindDoc="1" locked="0" layoutInCell="1" allowOverlap="1" wp14:anchorId="262658AA" wp14:editId="2C98F85F">
                <wp:simplePos x="0" y="0"/>
                <wp:positionH relativeFrom="page">
                  <wp:posOffset>901700</wp:posOffset>
                </wp:positionH>
                <wp:positionV relativeFrom="paragraph">
                  <wp:posOffset>311150</wp:posOffset>
                </wp:positionV>
                <wp:extent cx="5558790" cy="396240"/>
                <wp:effectExtent l="0" t="0" r="16510" b="10160"/>
                <wp:wrapTopAndBottom/>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8790" cy="396240"/>
                        </a:xfrm>
                        <a:prstGeom prst="rect">
                          <a:avLst/>
                        </a:prstGeom>
                        <a:ln w="10159">
                          <a:solidFill>
                            <a:srgbClr val="910B71"/>
                          </a:solidFill>
                          <a:prstDash val="solid"/>
                        </a:ln>
                      </wps:spPr>
                      <wps:txbx>
                        <w:txbxContent>
                          <w:p w14:paraId="6312945B" w14:textId="29991A51" w:rsidR="002E7449" w:rsidRDefault="002E7449" w:rsidP="002E7449">
                            <w:pPr>
                              <w:spacing w:before="92" w:line="242" w:lineRule="auto"/>
                              <w:ind w:left="48" w:right="365"/>
                              <w:rPr>
                                <w:rFonts w:ascii="Myriad Pro Cond" w:hAnsi="Myriad Pro Cond"/>
                                <w:b/>
                                <w:sz w:val="18"/>
                              </w:rPr>
                            </w:pPr>
                            <w:r>
                              <w:rPr>
                                <w:rFonts w:ascii="Myriad Pro Cond" w:hAnsi="Myriad Pro Cond"/>
                                <w:b/>
                                <w:color w:val="910B71"/>
                                <w:w w:val="135"/>
                                <w:sz w:val="18"/>
                              </w:rPr>
                              <w:t>Prévention</w:t>
                            </w:r>
                            <w:r w:rsidR="005A3B76">
                              <w:rPr>
                                <w:rFonts w:ascii="Myriad Pro Cond" w:hAnsi="Myriad Pro Cond"/>
                                <w:b/>
                                <w:color w:val="910B71"/>
                                <w:w w:val="135"/>
                                <w:sz w:val="18"/>
                              </w:rPr>
                              <w:t xml:space="preserve"> </w:t>
                            </w:r>
                            <w:r w:rsidR="005A3B76" w:rsidRPr="005A3B76">
                              <w:rPr>
                                <w:rFonts w:ascii="Myriad Pro Cond" w:hAnsi="Myriad Pro Cond"/>
                                <w:b/>
                                <w:color w:val="910B71"/>
                                <w:w w:val="135"/>
                                <w:sz w:val="18"/>
                              </w:rPr>
                              <w:t>et prise en soins des maladies infectieuses chez les personnes migrantes</w:t>
                            </w:r>
                          </w:p>
                        </w:txbxContent>
                      </wps:txbx>
                      <wps:bodyPr wrap="square" lIns="0" tIns="0" rIns="0" bIns="0" rtlCol="0">
                        <a:noAutofit/>
                      </wps:bodyPr>
                    </wps:wsp>
                  </a:graphicData>
                </a:graphic>
                <wp14:sizeRelH relativeFrom="margin">
                  <wp14:pctWidth>0</wp14:pctWidth>
                </wp14:sizeRelH>
              </wp:anchor>
            </w:drawing>
          </mc:Choice>
          <mc:Fallback>
            <w:pict>
              <v:shapetype w14:anchorId="262658AA" id="_x0000_t202" coordsize="21600,21600" o:spt="202" path="m,l,21600r21600,l21600,xe">
                <v:stroke joinstyle="miter"/>
                <v:path gradientshapeok="t" o:connecttype="rect"/>
              </v:shapetype>
              <v:shape id="Textbox 264" o:spid="_x0000_s1026" type="#_x0000_t202" style="position:absolute;left:0;text-align:left;margin-left:71pt;margin-top:24.5pt;width:437.7pt;height:31.2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" filled="f" strokecolor="#910b71" strokeweight=".28219mm">
                <v:path arrowok="t"/>
                <v:textbox inset="0,0,0,0">
                  <w:txbxContent>
                    <w:p w14:paraId="6312945B" w14:textId="29991A51" w:rsidR="002E7449" w:rsidRDefault="002E7449" w:rsidP="002E7449">
                      <w:pPr>
                        <w:spacing w:before="92" w:line="242" w:lineRule="auto"/>
                        <w:ind w:left="48" w:right="365"/>
                        <w:rPr>
                          <w:rFonts w:ascii="Myriad Pro Cond" w:hAnsi="Myriad Pro Cond"/>
                          <w:b/>
                          <w:sz w:val="18"/>
                        </w:rPr>
                      </w:pPr>
                      <w:r>
                        <w:rPr>
                          <w:rFonts w:ascii="Myriad Pro Cond" w:hAnsi="Myriad Pro Cond"/>
                          <w:b/>
                          <w:color w:val="910B71"/>
                          <w:w w:val="135"/>
                          <w:sz w:val="18"/>
                        </w:rPr>
                        <w:t>Prévention</w:t>
                      </w:r>
                      <w:r w:rsidR="005A3B76">
                        <w:rPr>
                          <w:rFonts w:ascii="Myriad Pro Cond" w:hAnsi="Myriad Pro Cond"/>
                          <w:b/>
                          <w:color w:val="910B71"/>
                          <w:w w:val="135"/>
                          <w:sz w:val="18"/>
                        </w:rPr>
                        <w:t xml:space="preserve"> </w:t>
                      </w:r>
                      <w:r w:rsidR="005A3B76" w:rsidRPr="005A3B76">
                        <w:rPr>
                          <w:rFonts w:ascii="Myriad Pro Cond" w:hAnsi="Myriad Pro Cond"/>
                          <w:b/>
                          <w:color w:val="910B71"/>
                          <w:w w:val="135"/>
                          <w:sz w:val="18"/>
                        </w:rPr>
                        <w:t>et prise en soins des maladies infectieuses chez les personnes migrantes</w:t>
                      </w:r>
                    </w:p>
                  </w:txbxContent>
                </v:textbox>
                <w10:wrap type="topAndBottom" anchorx="page"/>
              </v:shape>
            </w:pict>
          </mc:Fallback>
        </mc:AlternateContent>
      </w:r>
    </w:p>
    <w:p w14:paraId="2F5DB5FC" w14:textId="77777777" w:rsidR="00E329B8" w:rsidRDefault="00E329B8" w:rsidP="00E329B8">
      <w:pPr>
        <w:pStyle w:val="Corpsdetexte"/>
        <w:spacing w:before="18"/>
        <w:rPr>
          <w:sz w:val="20"/>
        </w:rPr>
      </w:pPr>
    </w:p>
    <w:p w14:paraId="391B5A91" w14:textId="77777777" w:rsidR="00E329B8" w:rsidRPr="000D33D1" w:rsidRDefault="00E329B8" w:rsidP="00E329B8">
      <w:pPr>
        <w:tabs>
          <w:tab w:val="left" w:pos="1837"/>
        </w:tabs>
        <w:spacing w:before="133"/>
        <w:ind w:left="711"/>
      </w:pPr>
      <w:r>
        <w:rPr>
          <w:rFonts w:ascii="Myriad Pro Cond" w:hAnsi="Myriad Pro Cond"/>
          <w:b/>
          <w:color w:val="7977B2"/>
          <w:spacing w:val="-2"/>
          <w:w w:val="120"/>
          <w:sz w:val="18"/>
        </w:rPr>
        <w:t>Savoir</w:t>
      </w:r>
      <w:r>
        <w:rPr>
          <w:rFonts w:ascii="Myriad Pro Cond" w:hAnsi="Myriad Pro Cond"/>
          <w:b/>
          <w:color w:val="7977B2"/>
          <w:sz w:val="18"/>
        </w:rPr>
        <w:tab/>
      </w:r>
      <w:r w:rsidRPr="000D33D1">
        <w:rPr>
          <w:color w:val="1A171C"/>
          <w:position w:val="2"/>
        </w:rPr>
        <w:t>Connaître</w:t>
      </w:r>
      <w:r w:rsidRPr="000D33D1">
        <w:rPr>
          <w:color w:val="1A171C"/>
          <w:spacing w:val="-3"/>
          <w:position w:val="2"/>
        </w:rPr>
        <w:t xml:space="preserve"> </w:t>
      </w:r>
      <w:r w:rsidRPr="000D33D1">
        <w:rPr>
          <w:color w:val="1A171C"/>
          <w:spacing w:val="-10"/>
          <w:w w:val="105"/>
          <w:position w:val="2"/>
        </w:rPr>
        <w:t>:</w:t>
      </w:r>
    </w:p>
    <w:p w14:paraId="303716CB" w14:textId="0EB60BF5" w:rsidR="005A3B76" w:rsidRPr="000D33D1" w:rsidRDefault="005A3B76"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les spécificités socio-démographiques et d’accès aux soins des personnes migrantes</w:t>
      </w:r>
    </w:p>
    <w:p w14:paraId="015B6223" w14:textId="0173F167" w:rsidR="005A3B76" w:rsidRPr="000D33D1" w:rsidRDefault="005A3B76"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 xml:space="preserve">les spécificités épidémiologiques </w:t>
      </w:r>
      <w:r w:rsidR="00362228" w:rsidRPr="000D33D1">
        <w:rPr>
          <w:color w:val="7977B2"/>
        </w:rPr>
        <w:t xml:space="preserve">et cliniques </w:t>
      </w:r>
      <w:r w:rsidRPr="000D33D1">
        <w:rPr>
          <w:color w:val="7977B2"/>
        </w:rPr>
        <w:t>des pathologies infectieuses et tropicales (parasitoses, VIH, hépatites virales, tuberculose, HTLV-1, filarioses, dermatoses, etc.)</w:t>
      </w:r>
      <w:r w:rsidR="00C409B2">
        <w:rPr>
          <w:color w:val="7977B2"/>
        </w:rPr>
        <w:t xml:space="preserve"> et non transmissibles (santé mentale, hémoglobinopathies, diabète, etc.) </w:t>
      </w:r>
      <w:r w:rsidR="00C409B2" w:rsidRPr="009929D0">
        <w:rPr>
          <w:color w:val="7977B2"/>
        </w:rPr>
        <w:t>rencontrées chez les personnes migrantes</w:t>
      </w:r>
    </w:p>
    <w:p w14:paraId="204B0061" w14:textId="64539039" w:rsidR="005A3B76" w:rsidRDefault="005A3B76" w:rsidP="00B57D59">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le contenu et le rationnel du bilan de santé à proposer aux personnes migrantes primo-arrivantes</w:t>
      </w:r>
    </w:p>
    <w:p w14:paraId="74D0B8E4" w14:textId="04F28DD4" w:rsidR="00C409B2" w:rsidRPr="000D33D1" w:rsidRDefault="00C409B2"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Pr>
          <w:color w:val="7977B2"/>
        </w:rPr>
        <w:t>les outils de dépistage et d’évaluation de la précarité et des violences subies</w:t>
      </w:r>
    </w:p>
    <w:p w14:paraId="05A0457D" w14:textId="16C513EE" w:rsidR="00FD3FC2" w:rsidRPr="000D33D1" w:rsidRDefault="00FD3FC2"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les vaccins indiqués chez les personnes migrantes en fonction de l’âge et des antécédents</w:t>
      </w:r>
    </w:p>
    <w:p w14:paraId="696E343B" w14:textId="1D757938" w:rsidR="00E329B8" w:rsidRPr="000D33D1" w:rsidRDefault="00E329B8"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le</w:t>
      </w:r>
      <w:r w:rsidR="00362228" w:rsidRPr="000D33D1">
        <w:rPr>
          <w:color w:val="7977B2"/>
        </w:rPr>
        <w:t>s spécificités de l’interrogatoire, de l’examen clinique, les outils</w:t>
      </w:r>
      <w:r w:rsidRPr="000D33D1">
        <w:rPr>
          <w:color w:val="7977B2"/>
        </w:rPr>
        <w:t xml:space="preserve"> diagnostic</w:t>
      </w:r>
      <w:r w:rsidR="00362228" w:rsidRPr="000D33D1">
        <w:rPr>
          <w:color w:val="7977B2"/>
        </w:rPr>
        <w:t>s</w:t>
      </w:r>
      <w:r w:rsidRPr="000D33D1">
        <w:rPr>
          <w:color w:val="7977B2"/>
        </w:rPr>
        <w:t>, le traitement</w:t>
      </w:r>
      <w:r w:rsidR="005A3B76" w:rsidRPr="000D33D1">
        <w:rPr>
          <w:color w:val="7977B2"/>
        </w:rPr>
        <w:t>, les modalités de la prise en soin pluridisciplinaire</w:t>
      </w:r>
      <w:r w:rsidRPr="000D33D1">
        <w:rPr>
          <w:color w:val="7977B2"/>
        </w:rPr>
        <w:t xml:space="preserve"> et </w:t>
      </w:r>
      <w:r w:rsidR="00B57D59" w:rsidRPr="000D33D1">
        <w:rPr>
          <w:color w:val="7977B2"/>
        </w:rPr>
        <w:t xml:space="preserve">de </w:t>
      </w:r>
      <w:r w:rsidRPr="000D33D1">
        <w:rPr>
          <w:color w:val="7977B2"/>
        </w:rPr>
        <w:t>la prévention des pathologies</w:t>
      </w:r>
      <w:r w:rsidR="005A3B76" w:rsidRPr="000D33D1">
        <w:rPr>
          <w:color w:val="7977B2"/>
        </w:rPr>
        <w:t xml:space="preserve"> infectieuses</w:t>
      </w:r>
      <w:r w:rsidRPr="000D33D1">
        <w:rPr>
          <w:color w:val="7977B2"/>
        </w:rPr>
        <w:t xml:space="preserve"> </w:t>
      </w:r>
      <w:r w:rsidR="005A3B76" w:rsidRPr="000D33D1">
        <w:rPr>
          <w:color w:val="7977B2"/>
        </w:rPr>
        <w:t>touchant les personnes migrantes primo-arrivantes et les immigrés retournant au pays</w:t>
      </w:r>
      <w:r w:rsidR="00C25204" w:rsidRPr="000D33D1">
        <w:rPr>
          <w:color w:val="7977B2"/>
        </w:rPr>
        <w:t xml:space="preserve"> d’origine/en zone d’endémie</w:t>
      </w:r>
    </w:p>
    <w:p w14:paraId="2011622B" w14:textId="3567BAAF" w:rsidR="001845B8" w:rsidRPr="000D33D1" w:rsidRDefault="001845B8" w:rsidP="000D33D1">
      <w:pPr>
        <w:pStyle w:val="Paragraphedeliste"/>
        <w:widowControl w:val="0"/>
        <w:numPr>
          <w:ilvl w:val="1"/>
          <w:numId w:val="2"/>
        </w:numPr>
        <w:tabs>
          <w:tab w:val="left" w:pos="1979"/>
        </w:tabs>
        <w:autoSpaceDE w:val="0"/>
        <w:autoSpaceDN w:val="0"/>
        <w:spacing w:before="31" w:after="0" w:line="232" w:lineRule="auto"/>
        <w:ind w:right="1096"/>
        <w:contextualSpacing w:val="0"/>
        <w:jc w:val="both"/>
        <w:rPr>
          <w:color w:val="7977B2"/>
        </w:rPr>
      </w:pPr>
      <w:r w:rsidRPr="000D33D1">
        <w:rPr>
          <w:color w:val="7977B2"/>
        </w:rPr>
        <w:t xml:space="preserve">Avoir des notions de prise en </w:t>
      </w:r>
      <w:r w:rsidR="00B57D59" w:rsidRPr="000D33D1">
        <w:rPr>
          <w:color w:val="7977B2"/>
        </w:rPr>
        <w:t>soin</w:t>
      </w:r>
      <w:r w:rsidRPr="000D33D1">
        <w:rPr>
          <w:color w:val="7977B2"/>
        </w:rPr>
        <w:t xml:space="preserve"> transculturelle et des représentations les plus fréquentes de la santé chez les personnes </w:t>
      </w:r>
      <w:r w:rsidR="00B57D59" w:rsidRPr="000D33D1">
        <w:rPr>
          <w:color w:val="7977B2"/>
        </w:rPr>
        <w:t>issues de l’immigration</w:t>
      </w:r>
    </w:p>
    <w:p w14:paraId="1CD87132" w14:textId="77777777" w:rsidR="00E329B8" w:rsidRDefault="00E329B8" w:rsidP="00E329B8">
      <w:pPr>
        <w:pStyle w:val="Corpsdetexte"/>
        <w:spacing w:before="83"/>
        <w:rPr>
          <w:sz w:val="17"/>
        </w:rPr>
      </w:pPr>
    </w:p>
    <w:p w14:paraId="0D3AD8E4" w14:textId="77777777" w:rsidR="005A3B76" w:rsidRDefault="00E329B8" w:rsidP="00E329B8">
      <w:pPr>
        <w:spacing w:line="213" w:lineRule="auto"/>
        <w:ind w:left="1979" w:right="117" w:hanging="1268"/>
        <w:rPr>
          <w:color w:val="D8A3C6"/>
          <w:spacing w:val="-3"/>
          <w:w w:val="105"/>
          <w:position w:val="1"/>
          <w:sz w:val="17"/>
        </w:rPr>
      </w:pPr>
      <w:r>
        <w:rPr>
          <w:rFonts w:ascii="Myriad Pro Cond" w:hAnsi="Myriad Pro Cond"/>
          <w:b/>
          <w:color w:val="D8A3C6"/>
          <w:spacing w:val="-2"/>
          <w:w w:val="115"/>
          <w:sz w:val="18"/>
        </w:rPr>
        <w:t>Savoir-faire</w:t>
      </w:r>
      <w:r>
        <w:rPr>
          <w:rFonts w:ascii="Myriad Pro Cond" w:hAnsi="Myriad Pro Cond"/>
          <w:b/>
          <w:color w:val="D8A3C6"/>
          <w:spacing w:val="68"/>
          <w:w w:val="115"/>
          <w:sz w:val="18"/>
        </w:rPr>
        <w:t xml:space="preserve"> </w:t>
      </w:r>
      <w:r>
        <w:rPr>
          <w:color w:val="D8A3C6"/>
          <w:spacing w:val="-2"/>
          <w:w w:val="105"/>
          <w:position w:val="1"/>
          <w:sz w:val="17"/>
        </w:rPr>
        <w:t>•</w:t>
      </w:r>
      <w:r>
        <w:rPr>
          <w:color w:val="D8A3C6"/>
          <w:spacing w:val="-3"/>
          <w:w w:val="105"/>
          <w:position w:val="1"/>
          <w:sz w:val="17"/>
        </w:rPr>
        <w:t xml:space="preserve"> </w:t>
      </w:r>
    </w:p>
    <w:p w14:paraId="5711E02F" w14:textId="49B9731C" w:rsidR="005A3B76" w:rsidRPr="000D33D1" w:rsidRDefault="005A3B76" w:rsidP="000D33D1">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Savoir mettre en œuvre un rattrapage vaccinal en cas de statut inconnu</w:t>
      </w:r>
    </w:p>
    <w:p w14:paraId="7C8EFF04" w14:textId="4ED5510C" w:rsidR="005A3B76" w:rsidRDefault="005A3B76" w:rsidP="00B57D5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 xml:space="preserve">Savoir </w:t>
      </w:r>
      <w:r w:rsidR="00456669" w:rsidRPr="000D33D1">
        <w:rPr>
          <w:color w:val="D8A3C6"/>
        </w:rPr>
        <w:t xml:space="preserve">réaliser un dépistage adapté des principales pathologies infectieuses et </w:t>
      </w:r>
      <w:r w:rsidRPr="000D33D1">
        <w:rPr>
          <w:color w:val="D8A3C6"/>
        </w:rPr>
        <w:t>prescrire le bilan de santé pour les personnes migrantes</w:t>
      </w:r>
      <w:r w:rsidR="00456669">
        <w:rPr>
          <w:color w:val="D8A3C6"/>
        </w:rPr>
        <w:t xml:space="preserve"> primo-arrivantes</w:t>
      </w:r>
    </w:p>
    <w:p w14:paraId="2A201AED" w14:textId="3C1780C5" w:rsidR="00456669" w:rsidRDefault="00456669" w:rsidP="0045666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Pr>
          <w:color w:val="D8A3C6"/>
        </w:rPr>
        <w:t>Savoir dépister et traiter les pathologies infectieuses et tropicales rencontrées chez les personnes migrantes</w:t>
      </w:r>
    </w:p>
    <w:p w14:paraId="6CB3DECE" w14:textId="1075E7F2" w:rsidR="00456669" w:rsidRPr="000D33D1" w:rsidRDefault="00456669" w:rsidP="0045666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Pr>
          <w:color w:val="D8A3C6"/>
        </w:rPr>
        <w:t>Savoir repérer les symptômes de tuberculose, de gale, d’infections parasitaires et d’infection par le VIH au stade sida</w:t>
      </w:r>
    </w:p>
    <w:p w14:paraId="27E96D72" w14:textId="3E665D68" w:rsidR="00456669" w:rsidRPr="000D33D1" w:rsidRDefault="00456669" w:rsidP="0045666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9929D0">
        <w:rPr>
          <w:color w:val="D8A3C6"/>
        </w:rPr>
        <w:t>Savoir prendre en charge une épidémie de gale ou autres dermatoses transmissibles</w:t>
      </w:r>
    </w:p>
    <w:p w14:paraId="47FEE0E1" w14:textId="39A5898F" w:rsidR="00456669" w:rsidRPr="000D33D1" w:rsidRDefault="00456669" w:rsidP="000D33D1">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Savoir mettre en œuvre une approche globale prenant en compte les aspects médicaux, psychologiques, sociaux, juridiques, et culturels.</w:t>
      </w:r>
    </w:p>
    <w:p w14:paraId="476235F9" w14:textId="77C57D05" w:rsidR="005A3B76" w:rsidRPr="000D33D1" w:rsidRDefault="005A3B76" w:rsidP="000D33D1">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Savoir repérer les situations de vulnérabilité sexuelle et proposer des solutions de réduction des risques (accompagnement social, PrEP, contraception, signalement des violences, etc.)</w:t>
      </w:r>
    </w:p>
    <w:p w14:paraId="77C3E783" w14:textId="4E46182A" w:rsidR="005A3B76" w:rsidRDefault="005A3B76" w:rsidP="00B57D5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Savoir repérer les facteurs de précarité et orienter vers les supports existants</w:t>
      </w:r>
    </w:p>
    <w:p w14:paraId="7219D959" w14:textId="1812F70C" w:rsidR="00456669" w:rsidRDefault="00456669" w:rsidP="00B57D59">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Savoir communiquer et travailler en collaboration avec des médiateurs en santé et des acteurs associatifs.</w:t>
      </w:r>
    </w:p>
    <w:p w14:paraId="32EDB66E" w14:textId="6EF8EE1D" w:rsidR="00E329B8" w:rsidRPr="000D33D1" w:rsidRDefault="00E329B8" w:rsidP="000D33D1">
      <w:pPr>
        <w:pStyle w:val="Paragraphedeliste"/>
        <w:widowControl w:val="0"/>
        <w:numPr>
          <w:ilvl w:val="1"/>
          <w:numId w:val="2"/>
        </w:numPr>
        <w:tabs>
          <w:tab w:val="left" w:pos="1979"/>
        </w:tabs>
        <w:autoSpaceDE w:val="0"/>
        <w:autoSpaceDN w:val="0"/>
        <w:spacing w:before="61" w:after="0" w:line="232" w:lineRule="auto"/>
        <w:ind w:right="865"/>
        <w:contextualSpacing w:val="0"/>
        <w:jc w:val="both"/>
        <w:rPr>
          <w:color w:val="D8A3C6"/>
        </w:rPr>
      </w:pPr>
      <w:r w:rsidRPr="000D33D1">
        <w:rPr>
          <w:color w:val="D8A3C6"/>
        </w:rPr>
        <w:t xml:space="preserve">Savoir prendre en </w:t>
      </w:r>
      <w:r w:rsidR="005A3B76" w:rsidRPr="000D33D1">
        <w:rPr>
          <w:color w:val="D8A3C6"/>
        </w:rPr>
        <w:t xml:space="preserve">soin </w:t>
      </w:r>
      <w:r w:rsidR="00C25204" w:rsidRPr="000D33D1">
        <w:rPr>
          <w:color w:val="D8A3C6"/>
        </w:rPr>
        <w:t>à leur retour</w:t>
      </w:r>
      <w:r w:rsidR="00D22B80" w:rsidRPr="000D33D1">
        <w:rPr>
          <w:color w:val="D8A3C6"/>
        </w:rPr>
        <w:t xml:space="preserve"> de voyage,</w:t>
      </w:r>
      <w:r w:rsidR="00C25204" w:rsidRPr="000D33D1">
        <w:rPr>
          <w:color w:val="D8A3C6"/>
        </w:rPr>
        <w:t xml:space="preserve"> </w:t>
      </w:r>
      <w:r w:rsidR="005A3B76" w:rsidRPr="000D33D1">
        <w:rPr>
          <w:color w:val="D8A3C6"/>
        </w:rPr>
        <w:t>les immigrés retournant au pays</w:t>
      </w:r>
      <w:r w:rsidR="00C25204" w:rsidRPr="000D33D1">
        <w:rPr>
          <w:color w:val="D8A3C6"/>
        </w:rPr>
        <w:t xml:space="preserve"> d’origine</w:t>
      </w:r>
      <w:r w:rsidR="00C25204" w:rsidRPr="000D33D1" w:rsidDel="005A3B76">
        <w:rPr>
          <w:color w:val="D8A3C6"/>
        </w:rPr>
        <w:t xml:space="preserve"> </w:t>
      </w:r>
      <w:r w:rsidRPr="000D33D1">
        <w:rPr>
          <w:color w:val="D8A3C6"/>
        </w:rPr>
        <w:t xml:space="preserve">: </w:t>
      </w:r>
      <w:r w:rsidR="005A3B76" w:rsidRPr="000D33D1">
        <w:rPr>
          <w:color w:val="D8A3C6"/>
        </w:rPr>
        <w:t xml:space="preserve">paludisme, </w:t>
      </w:r>
      <w:r w:rsidRPr="000D33D1">
        <w:rPr>
          <w:color w:val="D8A3C6"/>
        </w:rPr>
        <w:t>fièvre, diarrhée, dermatoses</w:t>
      </w:r>
      <w:r w:rsidR="005A3B76" w:rsidRPr="000D33D1">
        <w:rPr>
          <w:color w:val="D8A3C6"/>
        </w:rPr>
        <w:t xml:space="preserve">, dépistage </w:t>
      </w:r>
      <w:r w:rsidR="00D22B80" w:rsidRPr="000D33D1">
        <w:rPr>
          <w:color w:val="D8A3C6"/>
        </w:rPr>
        <w:t xml:space="preserve">des </w:t>
      </w:r>
      <w:r w:rsidR="005A3B76" w:rsidRPr="000D33D1">
        <w:rPr>
          <w:color w:val="D8A3C6"/>
        </w:rPr>
        <w:t>IST,</w:t>
      </w:r>
      <w:r w:rsidR="00D22B80" w:rsidRPr="000D33D1">
        <w:rPr>
          <w:color w:val="D8A3C6"/>
        </w:rPr>
        <w:t xml:space="preserve"> etc.</w:t>
      </w:r>
    </w:p>
    <w:p w14:paraId="4922B3BA" w14:textId="77777777" w:rsidR="00CE33F2" w:rsidRDefault="00CE33F2" w:rsidP="005E7C33">
      <w:pPr>
        <w:jc w:val="center"/>
      </w:pPr>
    </w:p>
    <w:p w14:paraId="147BE244" w14:textId="77777777" w:rsidR="005E7C33" w:rsidRDefault="005E7C33"/>
    <w:p w14:paraId="012A1E96" w14:textId="77777777" w:rsidR="005E7C33" w:rsidRDefault="005E7C33"/>
    <w:sectPr w:rsidR="005E7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Segoe UI"/>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86049"/>
    <w:multiLevelType w:val="hybridMultilevel"/>
    <w:tmpl w:val="4CE6694E"/>
    <w:lvl w:ilvl="0" w:tplc="561E1D42">
      <w:numFmt w:val="bullet"/>
      <w:lvlText w:val="•"/>
      <w:lvlJc w:val="left"/>
      <w:pPr>
        <w:ind w:left="392" w:hanging="142"/>
      </w:pPr>
      <w:rPr>
        <w:rFonts w:ascii="Tahoma" w:eastAsia="Tahoma" w:hAnsi="Tahoma" w:cs="Tahoma" w:hint="default"/>
        <w:b w:val="0"/>
        <w:bCs w:val="0"/>
        <w:i w:val="0"/>
        <w:iCs w:val="0"/>
        <w:color w:val="7977B2"/>
        <w:spacing w:val="0"/>
        <w:w w:val="109"/>
        <w:sz w:val="18"/>
        <w:szCs w:val="18"/>
        <w:lang w:val="fr-FR" w:eastAsia="en-US" w:bidi="ar-SA"/>
      </w:rPr>
    </w:lvl>
    <w:lvl w:ilvl="1" w:tplc="D2DE11C8">
      <w:numFmt w:val="bullet"/>
      <w:lvlText w:val="•"/>
      <w:lvlJc w:val="left"/>
      <w:pPr>
        <w:ind w:left="1582" w:hanging="142"/>
      </w:pPr>
      <w:rPr>
        <w:rFonts w:ascii="Tahoma" w:eastAsia="Tahoma" w:hAnsi="Tahoma" w:cs="Tahoma" w:hint="default"/>
        <w:spacing w:val="0"/>
        <w:w w:val="109"/>
        <w:lang w:val="fr-FR" w:eastAsia="en-US" w:bidi="ar-SA"/>
      </w:rPr>
    </w:lvl>
    <w:lvl w:ilvl="2" w:tplc="7F8ED026">
      <w:numFmt w:val="bullet"/>
      <w:lvlText w:val="•"/>
      <w:lvlJc w:val="left"/>
      <w:pPr>
        <w:ind w:left="1979" w:hanging="142"/>
      </w:pPr>
      <w:rPr>
        <w:rFonts w:ascii="Tahoma" w:eastAsia="Tahoma" w:hAnsi="Tahoma" w:cs="Tahoma" w:hint="default"/>
        <w:spacing w:val="0"/>
        <w:w w:val="109"/>
        <w:lang w:val="fr-FR" w:eastAsia="en-US" w:bidi="ar-SA"/>
      </w:rPr>
    </w:lvl>
    <w:lvl w:ilvl="3" w:tplc="DA720B68">
      <w:numFmt w:val="bullet"/>
      <w:lvlText w:val="-"/>
      <w:lvlJc w:val="left"/>
      <w:pPr>
        <w:ind w:left="2092" w:hanging="114"/>
      </w:pPr>
      <w:rPr>
        <w:rFonts w:ascii="Tahoma" w:eastAsia="Tahoma" w:hAnsi="Tahoma" w:cs="Tahoma" w:hint="default"/>
        <w:b w:val="0"/>
        <w:bCs w:val="0"/>
        <w:i w:val="0"/>
        <w:iCs w:val="0"/>
        <w:color w:val="1A171C"/>
        <w:spacing w:val="0"/>
        <w:w w:val="76"/>
        <w:sz w:val="17"/>
        <w:szCs w:val="17"/>
        <w:lang w:val="fr-FR" w:eastAsia="en-US" w:bidi="ar-SA"/>
      </w:rPr>
    </w:lvl>
    <w:lvl w:ilvl="4" w:tplc="ECCA8038">
      <w:numFmt w:val="bullet"/>
      <w:lvlText w:val="•"/>
      <w:lvlJc w:val="left"/>
      <w:pPr>
        <w:ind w:left="2866" w:hanging="114"/>
      </w:pPr>
      <w:rPr>
        <w:rFonts w:hint="default"/>
        <w:lang w:val="fr-FR" w:eastAsia="en-US" w:bidi="ar-SA"/>
      </w:rPr>
    </w:lvl>
    <w:lvl w:ilvl="5" w:tplc="60061B72">
      <w:numFmt w:val="bullet"/>
      <w:lvlText w:val="•"/>
      <w:lvlJc w:val="left"/>
      <w:pPr>
        <w:ind w:left="3632" w:hanging="114"/>
      </w:pPr>
      <w:rPr>
        <w:rFonts w:hint="default"/>
        <w:lang w:val="fr-FR" w:eastAsia="en-US" w:bidi="ar-SA"/>
      </w:rPr>
    </w:lvl>
    <w:lvl w:ilvl="6" w:tplc="5006559E">
      <w:numFmt w:val="bullet"/>
      <w:lvlText w:val="•"/>
      <w:lvlJc w:val="left"/>
      <w:pPr>
        <w:ind w:left="4398" w:hanging="114"/>
      </w:pPr>
      <w:rPr>
        <w:rFonts w:hint="default"/>
        <w:lang w:val="fr-FR" w:eastAsia="en-US" w:bidi="ar-SA"/>
      </w:rPr>
    </w:lvl>
    <w:lvl w:ilvl="7" w:tplc="F1D632F4">
      <w:numFmt w:val="bullet"/>
      <w:lvlText w:val="•"/>
      <w:lvlJc w:val="left"/>
      <w:pPr>
        <w:ind w:left="5165" w:hanging="114"/>
      </w:pPr>
      <w:rPr>
        <w:rFonts w:hint="default"/>
        <w:lang w:val="fr-FR" w:eastAsia="en-US" w:bidi="ar-SA"/>
      </w:rPr>
    </w:lvl>
    <w:lvl w:ilvl="8" w:tplc="1A8CEC6E">
      <w:numFmt w:val="bullet"/>
      <w:lvlText w:val="•"/>
      <w:lvlJc w:val="left"/>
      <w:pPr>
        <w:ind w:left="5931" w:hanging="114"/>
      </w:pPr>
      <w:rPr>
        <w:rFonts w:hint="default"/>
        <w:lang w:val="fr-FR" w:eastAsia="en-US" w:bidi="ar-SA"/>
      </w:rPr>
    </w:lvl>
  </w:abstractNum>
  <w:abstractNum w:abstractNumId="1" w15:restartNumberingAfterBreak="0">
    <w:nsid w:val="5C02714A"/>
    <w:multiLevelType w:val="hybridMultilevel"/>
    <w:tmpl w:val="FBF45FC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63D078FE"/>
    <w:multiLevelType w:val="hybridMultilevel"/>
    <w:tmpl w:val="69CAE288"/>
    <w:lvl w:ilvl="0" w:tplc="ABB01588">
      <w:start w:val="2"/>
      <w:numFmt w:val="bullet"/>
      <w:lvlText w:val=""/>
      <w:lvlJc w:val="left"/>
      <w:pPr>
        <w:ind w:left="1068" w:hanging="360"/>
      </w:pPr>
      <w:rPr>
        <w:rFonts w:ascii="Symbol" w:eastAsia="Tahoma" w:hAnsi="Symbol" w:cs="Tahoma"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45B3D32"/>
    <w:multiLevelType w:val="hybridMultilevel"/>
    <w:tmpl w:val="01487F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6710821">
    <w:abstractNumId w:val="2"/>
  </w:num>
  <w:num w:numId="2" w16cid:durableId="312755284">
    <w:abstractNumId w:val="0"/>
  </w:num>
  <w:num w:numId="3" w16cid:durableId="275794979">
    <w:abstractNumId w:val="3"/>
  </w:num>
  <w:num w:numId="4" w16cid:durableId="112284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33"/>
    <w:rsid w:val="00065C31"/>
    <w:rsid w:val="000D33D1"/>
    <w:rsid w:val="0017141B"/>
    <w:rsid w:val="001845B8"/>
    <w:rsid w:val="002E7449"/>
    <w:rsid w:val="00362228"/>
    <w:rsid w:val="00406E2E"/>
    <w:rsid w:val="00456669"/>
    <w:rsid w:val="004E752C"/>
    <w:rsid w:val="00512E32"/>
    <w:rsid w:val="00546744"/>
    <w:rsid w:val="00560A7C"/>
    <w:rsid w:val="005A3B76"/>
    <w:rsid w:val="005E7C33"/>
    <w:rsid w:val="005F0FF9"/>
    <w:rsid w:val="00683389"/>
    <w:rsid w:val="0083316F"/>
    <w:rsid w:val="0089294F"/>
    <w:rsid w:val="00921062"/>
    <w:rsid w:val="00993D87"/>
    <w:rsid w:val="009B67ED"/>
    <w:rsid w:val="009D4A2D"/>
    <w:rsid w:val="00B46C20"/>
    <w:rsid w:val="00B57D59"/>
    <w:rsid w:val="00C25204"/>
    <w:rsid w:val="00C4051F"/>
    <w:rsid w:val="00C409B2"/>
    <w:rsid w:val="00CE33F2"/>
    <w:rsid w:val="00D22B80"/>
    <w:rsid w:val="00D90F9A"/>
    <w:rsid w:val="00DA7075"/>
    <w:rsid w:val="00E329B8"/>
    <w:rsid w:val="00E80D7E"/>
    <w:rsid w:val="00EE78D9"/>
    <w:rsid w:val="00FD3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AD9F"/>
  <w15:chartTrackingRefBased/>
  <w15:docId w15:val="{9F18B3E3-3083-D645-8D69-CCB6FA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7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7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7C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7C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7C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7C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7C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7C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7C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7C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7C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7C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7C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7C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7C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7C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7C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7C33"/>
    <w:rPr>
      <w:rFonts w:eastAsiaTheme="majorEastAsia" w:cstheme="majorBidi"/>
      <w:color w:val="272727" w:themeColor="text1" w:themeTint="D8"/>
    </w:rPr>
  </w:style>
  <w:style w:type="paragraph" w:styleId="Titre">
    <w:name w:val="Title"/>
    <w:basedOn w:val="Normal"/>
    <w:next w:val="Normal"/>
    <w:link w:val="TitreCar"/>
    <w:uiPriority w:val="10"/>
    <w:qFormat/>
    <w:rsid w:val="005E7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C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7C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7C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7C33"/>
    <w:pPr>
      <w:spacing w:before="160"/>
      <w:jc w:val="center"/>
    </w:pPr>
    <w:rPr>
      <w:i/>
      <w:iCs/>
      <w:color w:val="404040" w:themeColor="text1" w:themeTint="BF"/>
    </w:rPr>
  </w:style>
  <w:style w:type="character" w:customStyle="1" w:styleId="CitationCar">
    <w:name w:val="Citation Car"/>
    <w:basedOn w:val="Policepardfaut"/>
    <w:link w:val="Citation"/>
    <w:uiPriority w:val="29"/>
    <w:rsid w:val="005E7C33"/>
    <w:rPr>
      <w:i/>
      <w:iCs/>
      <w:color w:val="404040" w:themeColor="text1" w:themeTint="BF"/>
    </w:rPr>
  </w:style>
  <w:style w:type="paragraph" w:styleId="Paragraphedeliste">
    <w:name w:val="List Paragraph"/>
    <w:basedOn w:val="Normal"/>
    <w:uiPriority w:val="1"/>
    <w:qFormat/>
    <w:rsid w:val="005E7C33"/>
    <w:pPr>
      <w:ind w:left="720"/>
      <w:contextualSpacing/>
    </w:pPr>
  </w:style>
  <w:style w:type="character" w:styleId="Accentuationintense">
    <w:name w:val="Intense Emphasis"/>
    <w:basedOn w:val="Policepardfaut"/>
    <w:uiPriority w:val="21"/>
    <w:qFormat/>
    <w:rsid w:val="005E7C33"/>
    <w:rPr>
      <w:i/>
      <w:iCs/>
      <w:color w:val="0F4761" w:themeColor="accent1" w:themeShade="BF"/>
    </w:rPr>
  </w:style>
  <w:style w:type="paragraph" w:styleId="Citationintense">
    <w:name w:val="Intense Quote"/>
    <w:basedOn w:val="Normal"/>
    <w:next w:val="Normal"/>
    <w:link w:val="CitationintenseCar"/>
    <w:uiPriority w:val="30"/>
    <w:qFormat/>
    <w:rsid w:val="005E7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7C33"/>
    <w:rPr>
      <w:i/>
      <w:iCs/>
      <w:color w:val="0F4761" w:themeColor="accent1" w:themeShade="BF"/>
    </w:rPr>
  </w:style>
  <w:style w:type="character" w:styleId="Rfrenceintense">
    <w:name w:val="Intense Reference"/>
    <w:basedOn w:val="Policepardfaut"/>
    <w:uiPriority w:val="32"/>
    <w:qFormat/>
    <w:rsid w:val="005E7C33"/>
    <w:rPr>
      <w:b/>
      <w:bCs/>
      <w:smallCaps/>
      <w:color w:val="0F4761" w:themeColor="accent1" w:themeShade="BF"/>
      <w:spacing w:val="5"/>
    </w:rPr>
  </w:style>
  <w:style w:type="paragraph" w:styleId="Corpsdetexte">
    <w:name w:val="Body Text"/>
    <w:basedOn w:val="Normal"/>
    <w:link w:val="CorpsdetexteCar"/>
    <w:uiPriority w:val="1"/>
    <w:qFormat/>
    <w:rsid w:val="00E329B8"/>
    <w:pPr>
      <w:widowControl w:val="0"/>
      <w:autoSpaceDE w:val="0"/>
      <w:autoSpaceDN w:val="0"/>
      <w:spacing w:after="0" w:line="240" w:lineRule="auto"/>
    </w:pPr>
    <w:rPr>
      <w:rFonts w:ascii="Tahoma" w:eastAsia="Tahoma" w:hAnsi="Tahoma" w:cs="Tahoma"/>
      <w:kern w:val="0"/>
      <w:sz w:val="18"/>
      <w:szCs w:val="18"/>
      <w14:ligatures w14:val="none"/>
    </w:rPr>
  </w:style>
  <w:style w:type="character" w:customStyle="1" w:styleId="CorpsdetexteCar">
    <w:name w:val="Corps de texte Car"/>
    <w:basedOn w:val="Policepardfaut"/>
    <w:link w:val="Corpsdetexte"/>
    <w:uiPriority w:val="1"/>
    <w:rsid w:val="00E329B8"/>
    <w:rPr>
      <w:rFonts w:ascii="Tahoma" w:eastAsia="Tahoma" w:hAnsi="Tahoma" w:cs="Tahoma"/>
      <w:kern w:val="0"/>
      <w:sz w:val="18"/>
      <w:szCs w:val="18"/>
      <w14:ligatures w14:val="none"/>
    </w:rPr>
  </w:style>
  <w:style w:type="paragraph" w:styleId="Rvision">
    <w:name w:val="Revision"/>
    <w:hidden/>
    <w:uiPriority w:val="99"/>
    <w:semiHidden/>
    <w:rsid w:val="009B67ED"/>
    <w:pPr>
      <w:spacing w:after="0" w:line="240" w:lineRule="auto"/>
    </w:pPr>
  </w:style>
  <w:style w:type="paragraph" w:styleId="Textedebulles">
    <w:name w:val="Balloon Text"/>
    <w:basedOn w:val="Normal"/>
    <w:link w:val="TextedebullesCar"/>
    <w:uiPriority w:val="99"/>
    <w:semiHidden/>
    <w:unhideWhenUsed/>
    <w:rsid w:val="009210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1062"/>
    <w:rPr>
      <w:rFonts w:ascii="Segoe UI" w:hAnsi="Segoe UI" w:cs="Segoe UI"/>
      <w:sz w:val="18"/>
      <w:szCs w:val="18"/>
    </w:rPr>
  </w:style>
  <w:style w:type="character" w:styleId="Marquedecommentaire">
    <w:name w:val="annotation reference"/>
    <w:basedOn w:val="Policepardfaut"/>
    <w:uiPriority w:val="99"/>
    <w:semiHidden/>
    <w:unhideWhenUsed/>
    <w:rsid w:val="00921062"/>
    <w:rPr>
      <w:sz w:val="16"/>
      <w:szCs w:val="16"/>
    </w:rPr>
  </w:style>
  <w:style w:type="paragraph" w:styleId="Commentaire">
    <w:name w:val="annotation text"/>
    <w:basedOn w:val="Normal"/>
    <w:link w:val="CommentaireCar"/>
    <w:uiPriority w:val="99"/>
    <w:semiHidden/>
    <w:unhideWhenUsed/>
    <w:rsid w:val="00921062"/>
    <w:pPr>
      <w:spacing w:line="240" w:lineRule="auto"/>
    </w:pPr>
    <w:rPr>
      <w:sz w:val="20"/>
      <w:szCs w:val="20"/>
    </w:rPr>
  </w:style>
  <w:style w:type="character" w:customStyle="1" w:styleId="CommentaireCar">
    <w:name w:val="Commentaire Car"/>
    <w:basedOn w:val="Policepardfaut"/>
    <w:link w:val="Commentaire"/>
    <w:uiPriority w:val="99"/>
    <w:semiHidden/>
    <w:rsid w:val="00921062"/>
    <w:rPr>
      <w:sz w:val="20"/>
      <w:szCs w:val="20"/>
    </w:rPr>
  </w:style>
  <w:style w:type="paragraph" w:styleId="Objetducommentaire">
    <w:name w:val="annotation subject"/>
    <w:basedOn w:val="Commentaire"/>
    <w:next w:val="Commentaire"/>
    <w:link w:val="ObjetducommentaireCar"/>
    <w:uiPriority w:val="99"/>
    <w:semiHidden/>
    <w:unhideWhenUsed/>
    <w:rsid w:val="00921062"/>
    <w:rPr>
      <w:b/>
      <w:bCs/>
    </w:rPr>
  </w:style>
  <w:style w:type="character" w:customStyle="1" w:styleId="ObjetducommentaireCar">
    <w:name w:val="Objet du commentaire Car"/>
    <w:basedOn w:val="CommentaireCar"/>
    <w:link w:val="Objetducommentaire"/>
    <w:uiPriority w:val="99"/>
    <w:semiHidden/>
    <w:rsid w:val="00921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5548">
      <w:bodyDiv w:val="1"/>
      <w:marLeft w:val="0"/>
      <w:marRight w:val="0"/>
      <w:marTop w:val="0"/>
      <w:marBottom w:val="0"/>
      <w:divBdr>
        <w:top w:val="none" w:sz="0" w:space="0" w:color="auto"/>
        <w:left w:val="none" w:sz="0" w:space="0" w:color="auto"/>
        <w:bottom w:val="none" w:sz="0" w:space="0" w:color="auto"/>
        <w:right w:val="none" w:sz="0" w:space="0" w:color="auto"/>
      </w:divBdr>
    </w:div>
    <w:div w:id="18723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Parisot</dc:creator>
  <cp:keywords/>
  <dc:description/>
  <cp:lastModifiedBy>VIGNIER Nicolas</cp:lastModifiedBy>
  <cp:revision>2</cp:revision>
  <dcterms:created xsi:type="dcterms:W3CDTF">2025-05-20T21:38:00Z</dcterms:created>
  <dcterms:modified xsi:type="dcterms:W3CDTF">2025-05-20T21:38:00Z</dcterms:modified>
</cp:coreProperties>
</file>