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C377A3" w14:textId="77777777" w:rsidR="003033CB" w:rsidRPr="00A756C8" w:rsidRDefault="006E0B76" w:rsidP="00B2084E">
      <w:pPr>
        <w:jc w:val="center"/>
        <w:rPr>
          <w:rFonts w:ascii="Arial" w:hAnsi="Arial" w:cs="Arial"/>
          <w:b/>
          <w:lang w:val="fr-CH"/>
        </w:rPr>
      </w:pPr>
      <w:bookmarkStart w:id="0" w:name="_GoBack"/>
      <w:bookmarkEnd w:id="0"/>
      <w:r w:rsidRPr="00A756C8">
        <w:rPr>
          <w:rFonts w:ascii="Arial" w:hAnsi="Arial" w:cs="Arial"/>
          <w:b/>
          <w:noProof/>
          <w:lang w:eastAsia="fr-FR"/>
        </w:rPr>
        <w:drawing>
          <wp:inline distT="0" distB="0" distL="0" distR="0" wp14:anchorId="03A9BBE1" wp14:editId="21994696">
            <wp:extent cx="1122065" cy="298401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8684" cy="3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56C8">
        <w:rPr>
          <w:rFonts w:ascii="Arial" w:hAnsi="Arial" w:cs="Arial"/>
          <w:b/>
          <w:noProof/>
          <w:lang w:eastAsia="fr-FR"/>
        </w:rPr>
        <w:drawing>
          <wp:inline distT="0" distB="0" distL="0" distR="0" wp14:anchorId="1035A38A" wp14:editId="74CF9DB3">
            <wp:extent cx="1019908" cy="337884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5270" cy="3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084E" w:rsidRPr="00A756C8">
        <w:rPr>
          <w:rFonts w:ascii="Arial" w:hAnsi="Arial" w:cs="Arial"/>
          <w:b/>
          <w:noProof/>
          <w:lang w:eastAsia="fr-FR"/>
        </w:rPr>
        <w:drawing>
          <wp:inline distT="0" distB="0" distL="0" distR="0" wp14:anchorId="5BE1E18C" wp14:editId="0396AC14">
            <wp:extent cx="1063869" cy="386861"/>
            <wp:effectExtent l="0" t="0" r="317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74895" cy="39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3C6A" w:rsidRPr="00A756C8">
        <w:rPr>
          <w:rFonts w:ascii="Arial" w:hAnsi="Arial" w:cs="Arial"/>
          <w:b/>
          <w:noProof/>
          <w:lang w:eastAsia="fr-FR"/>
        </w:rPr>
        <w:drawing>
          <wp:inline distT="0" distB="0" distL="0" distR="0" wp14:anchorId="4654242D" wp14:editId="24FCB2EF">
            <wp:extent cx="858724" cy="390330"/>
            <wp:effectExtent l="0" t="0" r="508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0240" cy="40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084E" w:rsidRPr="00A756C8">
        <w:rPr>
          <w:rFonts w:ascii="Arial" w:hAnsi="Arial" w:cs="Arial"/>
          <w:b/>
          <w:noProof/>
          <w:lang w:eastAsia="fr-FR"/>
        </w:rPr>
        <w:drawing>
          <wp:inline distT="0" distB="0" distL="0" distR="0" wp14:anchorId="0D693379" wp14:editId="17E868B9">
            <wp:extent cx="905608" cy="379649"/>
            <wp:effectExtent l="0" t="0" r="0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6286" cy="39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19409" w14:textId="77777777" w:rsidR="003033CB" w:rsidRPr="00A756C8" w:rsidRDefault="003033CB" w:rsidP="006E0B76">
      <w:pPr>
        <w:jc w:val="center"/>
        <w:rPr>
          <w:rFonts w:ascii="Arial" w:hAnsi="Arial" w:cs="Arial"/>
          <w:b/>
          <w:lang w:val="fr-CH"/>
        </w:rPr>
      </w:pPr>
    </w:p>
    <w:p w14:paraId="052905B9" w14:textId="77777777" w:rsidR="00AA10EF" w:rsidRPr="00A756C8" w:rsidRDefault="001F571A" w:rsidP="003033CB">
      <w:pPr>
        <w:jc w:val="center"/>
        <w:rPr>
          <w:rFonts w:ascii="Arial" w:hAnsi="Arial" w:cs="Arial"/>
          <w:b/>
          <w:lang w:val="fr-CH"/>
        </w:rPr>
      </w:pPr>
      <w:r w:rsidRPr="00A756C8">
        <w:rPr>
          <w:rFonts w:ascii="Arial" w:hAnsi="Arial" w:cs="Arial"/>
          <w:b/>
          <w:lang w:val="fr-CH"/>
        </w:rPr>
        <w:t>Lettre aux professionnels de santé</w:t>
      </w:r>
    </w:p>
    <w:p w14:paraId="11CD45C7" w14:textId="77777777" w:rsidR="001F571A" w:rsidRPr="00A756C8" w:rsidRDefault="001F571A">
      <w:pPr>
        <w:rPr>
          <w:rFonts w:ascii="Arial" w:hAnsi="Arial" w:cs="Arial"/>
          <w:lang w:val="fr-CH"/>
        </w:rPr>
      </w:pPr>
    </w:p>
    <w:p w14:paraId="0AFAA648" w14:textId="77777777" w:rsidR="001F571A" w:rsidRPr="00A756C8" w:rsidRDefault="001F571A">
      <w:pPr>
        <w:rPr>
          <w:rFonts w:ascii="Arial" w:hAnsi="Arial" w:cs="Arial"/>
          <w:lang w:val="fr-CH"/>
        </w:rPr>
      </w:pPr>
    </w:p>
    <w:p w14:paraId="4CC9DA78" w14:textId="77777777" w:rsidR="0035564D" w:rsidRPr="00A756C8" w:rsidRDefault="0035564D">
      <w:pPr>
        <w:rPr>
          <w:rFonts w:ascii="Arial" w:hAnsi="Arial" w:cs="Arial"/>
          <w:lang w:val="fr-CH"/>
        </w:rPr>
      </w:pPr>
    </w:p>
    <w:p w14:paraId="76CEFDEA" w14:textId="77777777" w:rsidR="001F571A" w:rsidRPr="00A756C8" w:rsidRDefault="001F571A" w:rsidP="00B44FFC">
      <w:pPr>
        <w:jc w:val="center"/>
        <w:rPr>
          <w:rFonts w:ascii="Arial" w:hAnsi="Arial" w:cs="Arial"/>
          <w:b/>
          <w:lang w:val="fr-CH"/>
        </w:rPr>
      </w:pPr>
      <w:r w:rsidRPr="00A756C8">
        <w:rPr>
          <w:rFonts w:ascii="Arial" w:hAnsi="Arial" w:cs="Arial"/>
          <w:b/>
          <w:lang w:val="fr-CH"/>
        </w:rPr>
        <w:t xml:space="preserve">Alternatives à la </w:t>
      </w:r>
      <w:proofErr w:type="spellStart"/>
      <w:r w:rsidRPr="00A756C8">
        <w:rPr>
          <w:rFonts w:ascii="Arial" w:hAnsi="Arial" w:cs="Arial"/>
          <w:b/>
          <w:lang w:val="fr-CH"/>
        </w:rPr>
        <w:t>Norfloxacine</w:t>
      </w:r>
      <w:proofErr w:type="spellEnd"/>
      <w:r w:rsidRPr="00A756C8">
        <w:rPr>
          <w:rFonts w:ascii="Arial" w:hAnsi="Arial" w:cs="Arial"/>
          <w:b/>
          <w:lang w:val="fr-CH"/>
        </w:rPr>
        <w:t xml:space="preserve"> pour la prévention de l’infection spontanée du liquide d’ascite chez </w:t>
      </w:r>
      <w:r w:rsidR="00782DD8" w:rsidRPr="00A756C8">
        <w:rPr>
          <w:rFonts w:ascii="Arial" w:hAnsi="Arial" w:cs="Arial"/>
          <w:b/>
          <w:lang w:val="fr-CH"/>
        </w:rPr>
        <w:t>les malades atteints de cirrhose</w:t>
      </w:r>
    </w:p>
    <w:p w14:paraId="7DEFEF6B" w14:textId="77777777" w:rsidR="00100CBE" w:rsidRPr="00A756C8" w:rsidRDefault="00100CBE">
      <w:pPr>
        <w:rPr>
          <w:rFonts w:ascii="Arial" w:hAnsi="Arial" w:cs="Arial"/>
          <w:lang w:val="fr-CH"/>
        </w:rPr>
      </w:pPr>
    </w:p>
    <w:p w14:paraId="78C0CDFC" w14:textId="77777777" w:rsidR="00100CBE" w:rsidRPr="00A756C8" w:rsidRDefault="00100CBE">
      <w:pPr>
        <w:rPr>
          <w:rFonts w:ascii="Arial" w:hAnsi="Arial" w:cs="Arial"/>
          <w:lang w:val="fr-CH"/>
        </w:rPr>
      </w:pPr>
      <w:r w:rsidRPr="00A756C8">
        <w:rPr>
          <w:rFonts w:ascii="Arial" w:hAnsi="Arial" w:cs="Arial"/>
          <w:b/>
          <w:lang w:val="fr-CH"/>
        </w:rPr>
        <w:t>Contexte</w:t>
      </w:r>
      <w:r w:rsidRPr="00A756C8">
        <w:rPr>
          <w:rFonts w:ascii="Arial" w:hAnsi="Arial" w:cs="Arial"/>
          <w:lang w:val="fr-CH"/>
        </w:rPr>
        <w:t xml:space="preserve"> : </w:t>
      </w:r>
    </w:p>
    <w:p w14:paraId="17AB2EF7" w14:textId="77777777" w:rsidR="00DB1C67" w:rsidRPr="00A756C8" w:rsidRDefault="00C75A2F" w:rsidP="00DB1C67">
      <w:pPr>
        <w:jc w:val="both"/>
        <w:rPr>
          <w:rFonts w:ascii="Arial" w:hAnsi="Arial" w:cs="Arial"/>
          <w:bCs/>
        </w:rPr>
      </w:pPr>
      <w:r w:rsidRPr="00A756C8">
        <w:rPr>
          <w:rFonts w:ascii="Arial" w:hAnsi="Arial" w:cs="Arial"/>
          <w:bCs/>
        </w:rPr>
        <w:t>Suite à l’avis de la commission de transparence du 21.03.2018</w:t>
      </w:r>
      <w:r w:rsidR="00100CBE" w:rsidRPr="00A756C8">
        <w:rPr>
          <w:rFonts w:ascii="Arial" w:hAnsi="Arial" w:cs="Arial"/>
          <w:bCs/>
        </w:rPr>
        <w:t xml:space="preserve"> l</w:t>
      </w:r>
      <w:r w:rsidR="00B2084E" w:rsidRPr="00A756C8">
        <w:rPr>
          <w:rFonts w:ascii="Arial" w:hAnsi="Arial" w:cs="Arial"/>
          <w:bCs/>
        </w:rPr>
        <w:t xml:space="preserve">a </w:t>
      </w:r>
      <w:r w:rsidR="00100CBE" w:rsidRPr="00A756C8">
        <w:rPr>
          <w:rFonts w:ascii="Arial" w:hAnsi="Arial" w:cs="Arial"/>
          <w:bCs/>
        </w:rPr>
        <w:t xml:space="preserve">HAS a décidé de </w:t>
      </w:r>
      <w:r w:rsidRPr="00A756C8">
        <w:rPr>
          <w:rFonts w:ascii="Arial" w:hAnsi="Arial" w:cs="Arial"/>
          <w:bCs/>
        </w:rPr>
        <w:t xml:space="preserve">procéder au </w:t>
      </w:r>
      <w:r w:rsidR="00100CBE" w:rsidRPr="00A756C8">
        <w:rPr>
          <w:rFonts w:ascii="Arial" w:hAnsi="Arial" w:cs="Arial"/>
          <w:bCs/>
        </w:rPr>
        <w:t xml:space="preserve">déremboursement de la </w:t>
      </w:r>
      <w:proofErr w:type="spellStart"/>
      <w:r w:rsidR="00100CBE" w:rsidRPr="00A756C8">
        <w:rPr>
          <w:rFonts w:ascii="Arial" w:hAnsi="Arial" w:cs="Arial"/>
          <w:bCs/>
        </w:rPr>
        <w:t>norfloxacine</w:t>
      </w:r>
      <w:proofErr w:type="spellEnd"/>
      <w:r w:rsidR="00100CBE" w:rsidRPr="00A756C8">
        <w:rPr>
          <w:rFonts w:ascii="Arial" w:hAnsi="Arial" w:cs="Arial"/>
          <w:bCs/>
        </w:rPr>
        <w:t xml:space="preserve"> en raison d</w:t>
      </w:r>
      <w:r w:rsidRPr="00A756C8">
        <w:rPr>
          <w:rFonts w:ascii="Arial" w:hAnsi="Arial" w:cs="Arial"/>
          <w:bCs/>
        </w:rPr>
        <w:t xml:space="preserve">e l’absence d’amélioration du service médical rendu. </w:t>
      </w:r>
      <w:r w:rsidR="00DB1C67" w:rsidRPr="00A756C8">
        <w:rPr>
          <w:rFonts w:ascii="Arial" w:hAnsi="Arial" w:cs="Arial"/>
          <w:bCs/>
        </w:rPr>
        <w:t xml:space="preserve">Une lettre de recours co-signée par les </w:t>
      </w:r>
      <w:r w:rsidR="00C91B7B" w:rsidRPr="00A756C8">
        <w:rPr>
          <w:rFonts w:ascii="Arial" w:hAnsi="Arial" w:cs="Arial"/>
          <w:bCs/>
        </w:rPr>
        <w:t>sociétés savantes d’infectiologie</w:t>
      </w:r>
      <w:r w:rsidR="00DB1C67" w:rsidRPr="00A756C8">
        <w:rPr>
          <w:rFonts w:ascii="Arial" w:hAnsi="Arial" w:cs="Arial"/>
          <w:bCs/>
        </w:rPr>
        <w:t xml:space="preserve"> </w:t>
      </w:r>
      <w:r w:rsidR="00C91B7B" w:rsidRPr="00A756C8">
        <w:rPr>
          <w:rFonts w:ascii="Arial" w:hAnsi="Arial" w:cs="Arial"/>
          <w:bCs/>
        </w:rPr>
        <w:t>et d’hépatologie</w:t>
      </w:r>
      <w:r w:rsidR="00DB1C67" w:rsidRPr="00A756C8">
        <w:rPr>
          <w:rFonts w:ascii="Arial" w:hAnsi="Arial" w:cs="Arial"/>
          <w:bCs/>
        </w:rPr>
        <w:t xml:space="preserve"> </w:t>
      </w:r>
      <w:r w:rsidR="00C91B7B" w:rsidRPr="00A756C8">
        <w:rPr>
          <w:rFonts w:ascii="Arial" w:hAnsi="Arial" w:cs="Arial"/>
          <w:bCs/>
        </w:rPr>
        <w:t xml:space="preserve">(la </w:t>
      </w:r>
      <w:r w:rsidR="00DB1C67" w:rsidRPr="00A756C8">
        <w:rPr>
          <w:rFonts w:ascii="Arial" w:hAnsi="Arial" w:cs="Arial"/>
          <w:bCs/>
        </w:rPr>
        <w:t>SPILF et l’</w:t>
      </w:r>
      <w:r w:rsidRPr="00A756C8">
        <w:rPr>
          <w:rFonts w:ascii="Arial" w:hAnsi="Arial" w:cs="Arial"/>
          <w:bCs/>
        </w:rPr>
        <w:t>AFEF</w:t>
      </w:r>
      <w:r w:rsidR="00C91B7B" w:rsidRPr="00A756C8">
        <w:rPr>
          <w:rFonts w:ascii="Arial" w:hAnsi="Arial" w:cs="Arial"/>
          <w:bCs/>
        </w:rPr>
        <w:t>)</w:t>
      </w:r>
      <w:r w:rsidRPr="00A756C8">
        <w:rPr>
          <w:rFonts w:ascii="Arial" w:hAnsi="Arial" w:cs="Arial"/>
          <w:bCs/>
        </w:rPr>
        <w:t xml:space="preserve"> a été adressée à l</w:t>
      </w:r>
      <w:r w:rsidR="00B2084E" w:rsidRPr="00A756C8">
        <w:rPr>
          <w:rFonts w:ascii="Arial" w:hAnsi="Arial" w:cs="Arial"/>
          <w:bCs/>
        </w:rPr>
        <w:t xml:space="preserve">a </w:t>
      </w:r>
      <w:r w:rsidR="00DB1C67" w:rsidRPr="00A756C8">
        <w:rPr>
          <w:rFonts w:ascii="Arial" w:hAnsi="Arial" w:cs="Arial"/>
          <w:bCs/>
        </w:rPr>
        <w:t xml:space="preserve">HAS pour obtenir une dérogation de remboursement de la </w:t>
      </w:r>
      <w:proofErr w:type="spellStart"/>
      <w:r w:rsidR="00DB1C67" w:rsidRPr="00A756C8">
        <w:rPr>
          <w:rFonts w:ascii="Arial" w:hAnsi="Arial" w:cs="Arial"/>
          <w:bCs/>
        </w:rPr>
        <w:t>norfloxacine</w:t>
      </w:r>
      <w:proofErr w:type="spellEnd"/>
      <w:r w:rsidR="00DB1C67" w:rsidRPr="00A756C8">
        <w:rPr>
          <w:rFonts w:ascii="Arial" w:hAnsi="Arial" w:cs="Arial"/>
          <w:bCs/>
        </w:rPr>
        <w:t xml:space="preserve"> en p</w:t>
      </w:r>
      <w:r w:rsidR="00FD5E57" w:rsidRPr="00A756C8">
        <w:rPr>
          <w:rFonts w:ascii="Arial" w:hAnsi="Arial" w:cs="Arial"/>
          <w:bCs/>
        </w:rPr>
        <w:t>ro</w:t>
      </w:r>
      <w:r w:rsidR="00DB1C67" w:rsidRPr="00A756C8">
        <w:rPr>
          <w:rFonts w:ascii="Arial" w:hAnsi="Arial" w:cs="Arial"/>
          <w:bCs/>
        </w:rPr>
        <w:t xml:space="preserve">phylaxie de l’infection </w:t>
      </w:r>
      <w:r w:rsidR="00091E3F" w:rsidRPr="00A756C8">
        <w:rPr>
          <w:rFonts w:ascii="Arial" w:hAnsi="Arial" w:cs="Arial"/>
          <w:bCs/>
        </w:rPr>
        <w:t xml:space="preserve">spontanée </w:t>
      </w:r>
      <w:r w:rsidR="00DB1C67" w:rsidRPr="00A756C8">
        <w:rPr>
          <w:rFonts w:ascii="Arial" w:hAnsi="Arial" w:cs="Arial"/>
          <w:bCs/>
        </w:rPr>
        <w:t xml:space="preserve">du liquide d’ascite </w:t>
      </w:r>
      <w:r w:rsidR="00091E3F" w:rsidRPr="00A756C8">
        <w:rPr>
          <w:rFonts w:ascii="Arial" w:hAnsi="Arial" w:cs="Arial"/>
          <w:bCs/>
        </w:rPr>
        <w:t xml:space="preserve">(ISLA) </w:t>
      </w:r>
      <w:r w:rsidR="00DB1C67" w:rsidRPr="00A756C8">
        <w:rPr>
          <w:rFonts w:ascii="Arial" w:hAnsi="Arial" w:cs="Arial"/>
          <w:bCs/>
        </w:rPr>
        <w:t xml:space="preserve">chez les malades atteints de cirrhose. </w:t>
      </w:r>
      <w:r w:rsidR="00100CBE" w:rsidRPr="00A756C8">
        <w:rPr>
          <w:rFonts w:ascii="Arial" w:hAnsi="Arial" w:cs="Arial"/>
        </w:rPr>
        <w:t>Le 22 octobre 2019, la commission de transparence de l</w:t>
      </w:r>
      <w:r w:rsidR="00B2084E" w:rsidRPr="00A756C8">
        <w:rPr>
          <w:rFonts w:ascii="Arial" w:hAnsi="Arial" w:cs="Arial"/>
        </w:rPr>
        <w:t xml:space="preserve">a </w:t>
      </w:r>
      <w:r w:rsidR="00100CBE" w:rsidRPr="00A756C8">
        <w:rPr>
          <w:rFonts w:ascii="Arial" w:hAnsi="Arial" w:cs="Arial"/>
        </w:rPr>
        <w:t xml:space="preserve">HAS s’est prononcée en défaveur d’un </w:t>
      </w:r>
      <w:r w:rsidRPr="00A756C8">
        <w:rPr>
          <w:rFonts w:ascii="Arial" w:hAnsi="Arial" w:cs="Arial"/>
        </w:rPr>
        <w:t xml:space="preserve">tel recours, </w:t>
      </w:r>
      <w:r w:rsidR="00DB1C67" w:rsidRPr="00A756C8">
        <w:rPr>
          <w:rFonts w:ascii="Arial" w:hAnsi="Arial" w:cs="Arial"/>
        </w:rPr>
        <w:t>compte tenu de l’absence d’AMM</w:t>
      </w:r>
      <w:r w:rsidRPr="00A756C8">
        <w:rPr>
          <w:rFonts w:ascii="Arial" w:hAnsi="Arial" w:cs="Arial"/>
        </w:rPr>
        <w:t xml:space="preserve"> de la </w:t>
      </w:r>
      <w:proofErr w:type="spellStart"/>
      <w:r w:rsidRPr="00A756C8">
        <w:rPr>
          <w:rFonts w:ascii="Arial" w:hAnsi="Arial" w:cs="Arial"/>
        </w:rPr>
        <w:t>norfloxacine</w:t>
      </w:r>
      <w:proofErr w:type="spellEnd"/>
      <w:r w:rsidRPr="00A756C8">
        <w:rPr>
          <w:rFonts w:ascii="Arial" w:hAnsi="Arial" w:cs="Arial"/>
        </w:rPr>
        <w:t xml:space="preserve"> dans cette indication. </w:t>
      </w:r>
      <w:r w:rsidR="00DB1C67" w:rsidRPr="00A756C8">
        <w:rPr>
          <w:rFonts w:ascii="Arial" w:hAnsi="Arial" w:cs="Arial"/>
        </w:rPr>
        <w:t>L</w:t>
      </w:r>
      <w:r w:rsidR="00C91B7B" w:rsidRPr="00A756C8">
        <w:rPr>
          <w:rFonts w:ascii="Arial" w:hAnsi="Arial" w:cs="Arial"/>
        </w:rPr>
        <w:t>a</w:t>
      </w:r>
      <w:r w:rsidR="00DB1C67" w:rsidRPr="00A756C8">
        <w:rPr>
          <w:rFonts w:ascii="Arial" w:hAnsi="Arial" w:cs="Arial"/>
        </w:rPr>
        <w:t xml:space="preserve"> SPILF et </w:t>
      </w:r>
      <w:r w:rsidR="00C91B7B" w:rsidRPr="00A756C8">
        <w:rPr>
          <w:rFonts w:ascii="Arial" w:hAnsi="Arial" w:cs="Arial"/>
        </w:rPr>
        <w:t>l’</w:t>
      </w:r>
      <w:r w:rsidR="00DB1C67" w:rsidRPr="00A756C8">
        <w:rPr>
          <w:rFonts w:ascii="Arial" w:hAnsi="Arial" w:cs="Arial"/>
        </w:rPr>
        <w:t xml:space="preserve">AFEF ont été invitées à contacter l’ANSM afin d’évaluer la capacité d’un laboratoire produisant </w:t>
      </w:r>
      <w:r w:rsidR="00091E3F" w:rsidRPr="00A756C8">
        <w:rPr>
          <w:rFonts w:ascii="Arial" w:hAnsi="Arial" w:cs="Arial"/>
        </w:rPr>
        <w:t xml:space="preserve">un générique de </w:t>
      </w:r>
      <w:proofErr w:type="spellStart"/>
      <w:r w:rsidR="00091E3F" w:rsidRPr="00A756C8">
        <w:rPr>
          <w:rFonts w:ascii="Arial" w:hAnsi="Arial" w:cs="Arial"/>
        </w:rPr>
        <w:t>norfloxacine</w:t>
      </w:r>
      <w:proofErr w:type="spellEnd"/>
      <w:r w:rsidR="00DB1C67" w:rsidRPr="00A756C8">
        <w:rPr>
          <w:rFonts w:ascii="Arial" w:hAnsi="Arial" w:cs="Arial"/>
        </w:rPr>
        <w:t xml:space="preserve"> à solliciter une extension d’AMM pour cette indication. Toutefois, la production et la disponibilité de la </w:t>
      </w:r>
      <w:proofErr w:type="spellStart"/>
      <w:r w:rsidR="00DB1C67" w:rsidRPr="00A756C8">
        <w:rPr>
          <w:rFonts w:ascii="Arial" w:hAnsi="Arial" w:cs="Arial"/>
        </w:rPr>
        <w:t>norfloxacine</w:t>
      </w:r>
      <w:proofErr w:type="spellEnd"/>
      <w:r w:rsidR="00DB1C67" w:rsidRPr="00A756C8">
        <w:rPr>
          <w:rFonts w:ascii="Arial" w:hAnsi="Arial" w:cs="Arial"/>
        </w:rPr>
        <w:t xml:space="preserve"> devraient peu à peu diminuer.</w:t>
      </w:r>
    </w:p>
    <w:p w14:paraId="1D357B4C" w14:textId="77777777" w:rsidR="00DB1C67" w:rsidRPr="00A756C8" w:rsidRDefault="00DB1C67" w:rsidP="00DB1C67">
      <w:pPr>
        <w:jc w:val="both"/>
        <w:rPr>
          <w:rFonts w:ascii="Arial" w:hAnsi="Arial" w:cs="Arial"/>
        </w:rPr>
      </w:pPr>
    </w:p>
    <w:p w14:paraId="35A82FEF" w14:textId="4B53C006" w:rsidR="0035564D" w:rsidRPr="00A756C8" w:rsidRDefault="0035564D" w:rsidP="00DB1C67">
      <w:pPr>
        <w:jc w:val="both"/>
        <w:rPr>
          <w:rFonts w:ascii="Arial" w:hAnsi="Arial" w:cs="Arial"/>
        </w:rPr>
      </w:pPr>
      <w:r w:rsidRPr="00A756C8">
        <w:rPr>
          <w:rFonts w:ascii="Arial" w:hAnsi="Arial" w:cs="Arial"/>
          <w:b/>
        </w:rPr>
        <w:t>Sources</w:t>
      </w:r>
      <w:r w:rsidRPr="00A756C8">
        <w:rPr>
          <w:rFonts w:ascii="Arial" w:hAnsi="Arial" w:cs="Arial"/>
        </w:rPr>
        <w:t xml:space="preserve"> : </w:t>
      </w:r>
      <w:r w:rsidR="00051463">
        <w:rPr>
          <w:rFonts w:ascii="Arial" w:hAnsi="Arial" w:cs="Arial"/>
        </w:rPr>
        <w:t xml:space="preserve">1-10 </w:t>
      </w:r>
    </w:p>
    <w:p w14:paraId="1043ABC2" w14:textId="77777777" w:rsidR="0035564D" w:rsidRPr="00A756C8" w:rsidRDefault="0035564D" w:rsidP="00DB1C67">
      <w:pPr>
        <w:jc w:val="both"/>
        <w:rPr>
          <w:rFonts w:ascii="Arial" w:hAnsi="Arial" w:cs="Arial"/>
        </w:rPr>
      </w:pPr>
    </w:p>
    <w:p w14:paraId="0F20F358" w14:textId="77777777" w:rsidR="0035564D" w:rsidRPr="00A756C8" w:rsidRDefault="0035564D" w:rsidP="00DB1C67">
      <w:pPr>
        <w:jc w:val="both"/>
        <w:rPr>
          <w:rFonts w:ascii="Arial" w:hAnsi="Arial" w:cs="Arial"/>
        </w:rPr>
      </w:pPr>
    </w:p>
    <w:p w14:paraId="7E241D7A" w14:textId="78D56506" w:rsidR="0035564D" w:rsidRPr="00A756C8" w:rsidRDefault="0035564D" w:rsidP="00DB1C67">
      <w:pPr>
        <w:jc w:val="both"/>
        <w:rPr>
          <w:rFonts w:ascii="Arial" w:hAnsi="Arial" w:cs="Arial"/>
          <w:b/>
        </w:rPr>
      </w:pPr>
      <w:r w:rsidRPr="00A756C8">
        <w:rPr>
          <w:rFonts w:ascii="Arial" w:hAnsi="Arial" w:cs="Arial"/>
          <w:b/>
        </w:rPr>
        <w:t>Points-clés</w:t>
      </w:r>
      <w:r w:rsidR="00D42E53">
        <w:rPr>
          <w:rFonts w:ascii="Arial" w:hAnsi="Arial" w:cs="Arial"/>
          <w:b/>
        </w:rPr>
        <w:t xml:space="preserve"> : </w:t>
      </w:r>
    </w:p>
    <w:p w14:paraId="4A8BDF75" w14:textId="6CEDE0EE" w:rsidR="00091E3F" w:rsidRPr="00A756C8" w:rsidRDefault="00091E3F" w:rsidP="00091E3F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 w:rsidRPr="00A756C8">
        <w:rPr>
          <w:rFonts w:ascii="Arial" w:hAnsi="Arial" w:cs="Arial"/>
        </w:rPr>
        <w:t>L’</w:t>
      </w:r>
      <w:r w:rsidR="00277496" w:rsidRPr="00A756C8">
        <w:rPr>
          <w:rFonts w:ascii="Arial" w:hAnsi="Arial" w:cs="Arial"/>
        </w:rPr>
        <w:t>antibio</w:t>
      </w:r>
      <w:r w:rsidR="0035564D" w:rsidRPr="00A756C8">
        <w:rPr>
          <w:rFonts w:ascii="Arial" w:hAnsi="Arial" w:cs="Arial"/>
        </w:rPr>
        <w:t>prophylaxie </w:t>
      </w:r>
      <w:r w:rsidR="00277496" w:rsidRPr="00A756C8">
        <w:rPr>
          <w:rFonts w:ascii="Arial" w:hAnsi="Arial" w:cs="Arial"/>
        </w:rPr>
        <w:t>de l’ISLA doit être réservée aux malades à haut risque :</w:t>
      </w:r>
      <w:r w:rsidRPr="00A756C8">
        <w:rPr>
          <w:rFonts w:ascii="Arial" w:hAnsi="Arial" w:cs="Arial"/>
        </w:rPr>
        <w:t xml:space="preserve"> il s’agit </w:t>
      </w:r>
      <w:r w:rsidR="0075134A" w:rsidRPr="00A756C8">
        <w:rPr>
          <w:rFonts w:ascii="Arial" w:hAnsi="Arial" w:cs="Arial"/>
        </w:rPr>
        <w:t xml:space="preserve">1) </w:t>
      </w:r>
      <w:r w:rsidR="001B502A" w:rsidRPr="00A756C8">
        <w:rPr>
          <w:rFonts w:ascii="Arial" w:hAnsi="Arial" w:cs="Arial"/>
        </w:rPr>
        <w:t xml:space="preserve">de </w:t>
      </w:r>
      <w:r w:rsidR="0075134A" w:rsidRPr="00A756C8">
        <w:rPr>
          <w:rFonts w:ascii="Arial" w:hAnsi="Arial" w:cs="Arial"/>
        </w:rPr>
        <w:t xml:space="preserve">prophylaxie primaire </w:t>
      </w:r>
      <w:r w:rsidRPr="00A756C8">
        <w:rPr>
          <w:rFonts w:ascii="Arial" w:hAnsi="Arial" w:cs="Arial"/>
        </w:rPr>
        <w:t xml:space="preserve">des malades ayant une cirrhose compliquée d’ascite </w:t>
      </w:r>
      <w:r w:rsidR="00E03565" w:rsidRPr="00A756C8">
        <w:rPr>
          <w:rFonts w:ascii="Arial" w:hAnsi="Arial" w:cs="Arial"/>
        </w:rPr>
        <w:t xml:space="preserve">importante </w:t>
      </w:r>
      <w:r w:rsidRPr="00A756C8">
        <w:rPr>
          <w:rFonts w:ascii="Arial" w:hAnsi="Arial" w:cs="Arial"/>
        </w:rPr>
        <w:t xml:space="preserve">pauvre en protides (&lt;15 grammes par litre) </w:t>
      </w:r>
      <w:r w:rsidR="00A649C2">
        <w:rPr>
          <w:rFonts w:ascii="Arial" w:hAnsi="Arial" w:cs="Arial"/>
        </w:rPr>
        <w:t>et</w:t>
      </w:r>
      <w:r w:rsidR="0075134A" w:rsidRPr="00A756C8">
        <w:rPr>
          <w:rFonts w:ascii="Arial" w:hAnsi="Arial" w:cs="Arial"/>
        </w:rPr>
        <w:t xml:space="preserve"> associée à</w:t>
      </w:r>
      <w:r w:rsidRPr="00A756C8">
        <w:rPr>
          <w:rFonts w:ascii="Arial" w:hAnsi="Arial" w:cs="Arial"/>
        </w:rPr>
        <w:t xml:space="preserve"> une insuffisance hépatique (</w:t>
      </w:r>
      <w:r w:rsidR="00B44FFC" w:rsidRPr="00A756C8">
        <w:rPr>
          <w:rFonts w:ascii="Arial" w:hAnsi="Arial" w:cs="Arial"/>
        </w:rPr>
        <w:t>classe</w:t>
      </w:r>
      <w:r w:rsidRPr="00A756C8">
        <w:rPr>
          <w:rFonts w:ascii="Arial" w:hAnsi="Arial" w:cs="Arial"/>
        </w:rPr>
        <w:t xml:space="preserve"> Child-</w:t>
      </w:r>
      <w:proofErr w:type="spellStart"/>
      <w:r w:rsidRPr="00A756C8">
        <w:rPr>
          <w:rFonts w:ascii="Arial" w:hAnsi="Arial" w:cs="Arial"/>
        </w:rPr>
        <w:t>Pugh</w:t>
      </w:r>
      <w:proofErr w:type="spellEnd"/>
      <w:r w:rsidRPr="00A756C8">
        <w:rPr>
          <w:rFonts w:ascii="Arial" w:hAnsi="Arial" w:cs="Arial"/>
        </w:rPr>
        <w:t xml:space="preserve"> </w:t>
      </w:r>
      <w:r w:rsidR="00B44FFC" w:rsidRPr="00A756C8">
        <w:rPr>
          <w:rFonts w:ascii="Arial" w:hAnsi="Arial" w:cs="Arial"/>
        </w:rPr>
        <w:t>C</w:t>
      </w:r>
      <w:r w:rsidR="0075134A" w:rsidRPr="00A756C8">
        <w:rPr>
          <w:rFonts w:ascii="Arial" w:hAnsi="Arial" w:cs="Arial"/>
        </w:rPr>
        <w:t xml:space="preserve">) </w:t>
      </w:r>
      <w:r w:rsidR="00B44FFC" w:rsidRPr="00A756C8">
        <w:rPr>
          <w:rFonts w:ascii="Arial" w:hAnsi="Arial" w:cs="Arial"/>
        </w:rPr>
        <w:t xml:space="preserve">2) </w:t>
      </w:r>
      <w:r w:rsidR="001B502A" w:rsidRPr="00A756C8">
        <w:rPr>
          <w:rFonts w:ascii="Arial" w:hAnsi="Arial" w:cs="Arial"/>
        </w:rPr>
        <w:t xml:space="preserve">de </w:t>
      </w:r>
      <w:r w:rsidR="0075134A" w:rsidRPr="00A756C8">
        <w:rPr>
          <w:rFonts w:ascii="Arial" w:hAnsi="Arial" w:cs="Arial"/>
        </w:rPr>
        <w:t xml:space="preserve">prophylaxie secondaire des </w:t>
      </w:r>
      <w:r w:rsidRPr="00A756C8">
        <w:rPr>
          <w:rFonts w:ascii="Arial" w:hAnsi="Arial" w:cs="Arial"/>
        </w:rPr>
        <w:t>malades ayant un antécédent d’ISLA</w:t>
      </w:r>
      <w:r w:rsidR="00A649C2">
        <w:rPr>
          <w:rFonts w:ascii="Arial" w:hAnsi="Arial" w:cs="Arial"/>
        </w:rPr>
        <w:t>.</w:t>
      </w:r>
    </w:p>
    <w:p w14:paraId="262F712C" w14:textId="0D56E5BB" w:rsidR="00A649C2" w:rsidRPr="00A649C2" w:rsidRDefault="0035564D" w:rsidP="00A649C2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Cs/>
        </w:rPr>
      </w:pPr>
      <w:r w:rsidRPr="00A756C8">
        <w:rPr>
          <w:rFonts w:ascii="Arial" w:hAnsi="Arial" w:cs="Arial"/>
        </w:rPr>
        <w:t>Il existe peu d’étude</w:t>
      </w:r>
      <w:r w:rsidR="00091E3F" w:rsidRPr="00A756C8">
        <w:rPr>
          <w:rFonts w:ascii="Arial" w:hAnsi="Arial" w:cs="Arial"/>
        </w:rPr>
        <w:t>s</w:t>
      </w:r>
      <w:r w:rsidRPr="00A756C8">
        <w:rPr>
          <w:rFonts w:ascii="Arial" w:hAnsi="Arial" w:cs="Arial"/>
        </w:rPr>
        <w:t xml:space="preserve"> ayant évalué l’efficacité d’antibiotiques </w:t>
      </w:r>
      <w:r w:rsidR="00091E3F" w:rsidRPr="00A756C8">
        <w:rPr>
          <w:rFonts w:ascii="Arial" w:hAnsi="Arial" w:cs="Arial"/>
        </w:rPr>
        <w:t xml:space="preserve">autres que la </w:t>
      </w:r>
      <w:proofErr w:type="spellStart"/>
      <w:r w:rsidR="00091E3F" w:rsidRPr="00A756C8">
        <w:rPr>
          <w:rFonts w:ascii="Arial" w:hAnsi="Arial" w:cs="Arial"/>
        </w:rPr>
        <w:t>norfloxacine</w:t>
      </w:r>
      <w:proofErr w:type="spellEnd"/>
      <w:r w:rsidR="00091E3F" w:rsidRPr="00A756C8">
        <w:rPr>
          <w:rFonts w:ascii="Arial" w:hAnsi="Arial" w:cs="Arial"/>
        </w:rPr>
        <w:t xml:space="preserve"> en prophylaxie</w:t>
      </w:r>
      <w:r w:rsidRPr="00A756C8">
        <w:rPr>
          <w:rFonts w:ascii="Arial" w:hAnsi="Arial" w:cs="Arial"/>
        </w:rPr>
        <w:t xml:space="preserve"> (primaire et secondaire) de l’</w:t>
      </w:r>
      <w:r w:rsidR="00B44FFC" w:rsidRPr="00A756C8">
        <w:rPr>
          <w:rFonts w:ascii="Arial" w:hAnsi="Arial" w:cs="Arial"/>
        </w:rPr>
        <w:t xml:space="preserve">ISLA </w:t>
      </w:r>
      <w:r w:rsidRPr="00A756C8">
        <w:rPr>
          <w:rFonts w:ascii="Arial" w:hAnsi="Arial" w:cs="Arial"/>
        </w:rPr>
        <w:t xml:space="preserve">chez les malades atteints de cirrhose. Ces études ont </w:t>
      </w:r>
      <w:r w:rsidR="00091E3F" w:rsidRPr="00A756C8">
        <w:rPr>
          <w:rFonts w:ascii="Arial" w:hAnsi="Arial" w:cs="Arial"/>
        </w:rPr>
        <w:t>porté sur</w:t>
      </w:r>
      <w:r w:rsidRPr="00A756C8">
        <w:rPr>
          <w:rFonts w:ascii="Arial" w:hAnsi="Arial" w:cs="Arial"/>
        </w:rPr>
        <w:t xml:space="preserve"> 3 molécules : la ciprofloxacine, le </w:t>
      </w:r>
      <w:proofErr w:type="spellStart"/>
      <w:r w:rsidR="00212787" w:rsidRPr="00A756C8">
        <w:rPr>
          <w:rFonts w:ascii="Arial" w:hAnsi="Arial" w:cs="Arial"/>
        </w:rPr>
        <w:t>triméthoprime-sulfaméthoxazole</w:t>
      </w:r>
      <w:proofErr w:type="spellEnd"/>
      <w:r w:rsidRPr="00A756C8">
        <w:rPr>
          <w:rFonts w:ascii="Arial" w:hAnsi="Arial" w:cs="Arial"/>
        </w:rPr>
        <w:t xml:space="preserve"> et la </w:t>
      </w:r>
      <w:proofErr w:type="spellStart"/>
      <w:r w:rsidRPr="00A756C8">
        <w:rPr>
          <w:rFonts w:ascii="Arial" w:hAnsi="Arial" w:cs="Arial"/>
        </w:rPr>
        <w:t>rifaximine</w:t>
      </w:r>
      <w:proofErr w:type="spellEnd"/>
      <w:r w:rsidRPr="00A756C8">
        <w:rPr>
          <w:rFonts w:ascii="Arial" w:hAnsi="Arial" w:cs="Arial"/>
        </w:rPr>
        <w:t>.</w:t>
      </w:r>
      <w:r w:rsidR="00E86168" w:rsidRPr="00A756C8">
        <w:rPr>
          <w:rFonts w:ascii="Arial" w:hAnsi="Arial" w:cs="Arial"/>
        </w:rPr>
        <w:t xml:space="preserve"> </w:t>
      </w:r>
      <w:r w:rsidR="00997388">
        <w:rPr>
          <w:rFonts w:ascii="Arial" w:hAnsi="Arial" w:cs="Arial"/>
        </w:rPr>
        <w:t>Ces recommandations sont des avis d’experts.</w:t>
      </w:r>
    </w:p>
    <w:p w14:paraId="687C1A6C" w14:textId="59B7E0AB" w:rsidR="00A649C2" w:rsidRPr="00A649C2" w:rsidRDefault="00A649C2" w:rsidP="00A649C2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Les schémas avec prise hebdomadaire (exemple ciprofloxacine) exposent à des concentrations d’antibiotiques infra-inhibitrices prolongées et à fort potentiel de sélection ; le choix a été fait de </w:t>
      </w:r>
      <w:r w:rsidR="00EC1B0F">
        <w:rPr>
          <w:rFonts w:ascii="Arial" w:hAnsi="Arial" w:cs="Arial"/>
        </w:rPr>
        <w:t>privilégier</w:t>
      </w:r>
      <w:r>
        <w:rPr>
          <w:rFonts w:ascii="Arial" w:hAnsi="Arial" w:cs="Arial"/>
        </w:rPr>
        <w:t xml:space="preserve"> la prise quotidienne pour améliorer l’observance.</w:t>
      </w:r>
    </w:p>
    <w:p w14:paraId="2771CC9F" w14:textId="5B1B160F" w:rsidR="0035564D" w:rsidRPr="005929C0" w:rsidRDefault="0035564D" w:rsidP="0035564D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Cs/>
        </w:rPr>
      </w:pPr>
      <w:r w:rsidRPr="00A756C8">
        <w:rPr>
          <w:rFonts w:ascii="Arial" w:hAnsi="Arial" w:cs="Arial"/>
          <w:b/>
        </w:rPr>
        <w:t xml:space="preserve">La </w:t>
      </w:r>
      <w:proofErr w:type="spellStart"/>
      <w:r w:rsidRPr="00A756C8">
        <w:rPr>
          <w:rFonts w:ascii="Arial" w:hAnsi="Arial" w:cs="Arial"/>
          <w:b/>
        </w:rPr>
        <w:t>rifaximine</w:t>
      </w:r>
      <w:proofErr w:type="spellEnd"/>
      <w:r w:rsidRPr="00A756C8">
        <w:rPr>
          <w:rFonts w:ascii="Arial" w:hAnsi="Arial" w:cs="Arial"/>
        </w:rPr>
        <w:t xml:space="preserve"> est </w:t>
      </w:r>
      <w:r w:rsidR="001B502A" w:rsidRPr="00A756C8">
        <w:rPr>
          <w:rFonts w:ascii="Arial" w:hAnsi="Arial" w:cs="Arial"/>
        </w:rPr>
        <w:t>un antibiotique en cours d’évaluation dans</w:t>
      </w:r>
      <w:r w:rsidRPr="00A756C8">
        <w:rPr>
          <w:rFonts w:ascii="Arial" w:hAnsi="Arial" w:cs="Arial"/>
        </w:rPr>
        <w:t xml:space="preserve"> la prophylaxie de l’ISLA. Cependant les données disponibles sont actuellement</w:t>
      </w:r>
      <w:r w:rsidR="00EA68F7" w:rsidRPr="00A756C8">
        <w:rPr>
          <w:rFonts w:ascii="Arial" w:hAnsi="Arial" w:cs="Arial"/>
        </w:rPr>
        <w:t xml:space="preserve"> insuffisantes pour proposer </w:t>
      </w:r>
      <w:r w:rsidR="00091E3F" w:rsidRPr="00A756C8">
        <w:rPr>
          <w:rFonts w:ascii="Arial" w:hAnsi="Arial" w:cs="Arial"/>
        </w:rPr>
        <w:t xml:space="preserve">d’emblée </w:t>
      </w:r>
      <w:r w:rsidR="00EA68F7" w:rsidRPr="00A756C8">
        <w:rPr>
          <w:rFonts w:ascii="Arial" w:hAnsi="Arial" w:cs="Arial"/>
        </w:rPr>
        <w:t xml:space="preserve">la </w:t>
      </w:r>
      <w:proofErr w:type="spellStart"/>
      <w:r w:rsidR="00EA68F7" w:rsidRPr="00A756C8">
        <w:rPr>
          <w:rFonts w:ascii="Arial" w:hAnsi="Arial" w:cs="Arial"/>
        </w:rPr>
        <w:t>rifaximine</w:t>
      </w:r>
      <w:proofErr w:type="spellEnd"/>
      <w:r w:rsidR="00EA68F7" w:rsidRPr="00A756C8">
        <w:rPr>
          <w:rFonts w:ascii="Arial" w:hAnsi="Arial" w:cs="Arial"/>
        </w:rPr>
        <w:t xml:space="preserve"> en prophylaxie primaire ou secondaire de l’ISLA. </w:t>
      </w:r>
      <w:r w:rsidR="00E03565" w:rsidRPr="00A756C8">
        <w:rPr>
          <w:rFonts w:ascii="Arial" w:hAnsi="Arial" w:cs="Arial"/>
        </w:rPr>
        <w:t>Ce traitement devra être réservé aux malades ayant une encéphalopathie hépatiqu</w:t>
      </w:r>
      <w:r w:rsidR="00384B68" w:rsidRPr="00A756C8">
        <w:rPr>
          <w:rFonts w:ascii="Arial" w:hAnsi="Arial" w:cs="Arial"/>
        </w:rPr>
        <w:t xml:space="preserve">e nécessitant un traitement </w:t>
      </w:r>
      <w:r w:rsidR="00E26AD8" w:rsidRPr="00A756C8">
        <w:rPr>
          <w:rFonts w:ascii="Arial" w:hAnsi="Arial" w:cs="Arial"/>
        </w:rPr>
        <w:t xml:space="preserve">par </w:t>
      </w:r>
      <w:proofErr w:type="spellStart"/>
      <w:r w:rsidR="00E26AD8" w:rsidRPr="00A756C8">
        <w:rPr>
          <w:rFonts w:ascii="Arial" w:hAnsi="Arial" w:cs="Arial"/>
        </w:rPr>
        <w:t>rifaximine</w:t>
      </w:r>
      <w:proofErr w:type="spellEnd"/>
      <w:r w:rsidR="00E26AD8" w:rsidRPr="00A756C8">
        <w:rPr>
          <w:rFonts w:ascii="Arial" w:hAnsi="Arial" w:cs="Arial"/>
        </w:rPr>
        <w:t xml:space="preserve"> en prévention des rechutes d’épisodes d’encéphalopathie hépatique clinique</w:t>
      </w:r>
      <w:r w:rsidR="00E03565" w:rsidRPr="00A756C8">
        <w:rPr>
          <w:rFonts w:ascii="Arial" w:hAnsi="Arial" w:cs="Arial"/>
        </w:rPr>
        <w:t xml:space="preserve">. </w:t>
      </w:r>
      <w:r w:rsidR="0075134A" w:rsidRPr="00A756C8">
        <w:rPr>
          <w:rFonts w:ascii="Arial" w:hAnsi="Arial" w:cs="Arial"/>
        </w:rPr>
        <w:t>En revanche i</w:t>
      </w:r>
      <w:r w:rsidR="00EA68F7" w:rsidRPr="00A756C8">
        <w:rPr>
          <w:rFonts w:ascii="Arial" w:hAnsi="Arial" w:cs="Arial"/>
        </w:rPr>
        <w:t xml:space="preserve">l est prioritaire d’inclure les malades candidats </w:t>
      </w:r>
      <w:r w:rsidR="0075134A" w:rsidRPr="00A756C8">
        <w:rPr>
          <w:rFonts w:ascii="Arial" w:hAnsi="Arial" w:cs="Arial"/>
        </w:rPr>
        <w:t>à une prophylaxie</w:t>
      </w:r>
      <w:r w:rsidR="00E26AD8" w:rsidRPr="00A756C8">
        <w:rPr>
          <w:rFonts w:ascii="Arial" w:hAnsi="Arial" w:cs="Arial"/>
        </w:rPr>
        <w:t xml:space="preserve"> </w:t>
      </w:r>
      <w:r w:rsidR="00E26AD8" w:rsidRPr="00A756C8">
        <w:rPr>
          <w:rFonts w:ascii="Arial" w:hAnsi="Arial" w:cs="Arial"/>
        </w:rPr>
        <w:lastRenderedPageBreak/>
        <w:t>primaire</w:t>
      </w:r>
      <w:r w:rsidR="0075134A" w:rsidRPr="00A756C8">
        <w:rPr>
          <w:rFonts w:ascii="Arial" w:hAnsi="Arial" w:cs="Arial"/>
        </w:rPr>
        <w:t xml:space="preserve"> de l’ISLA </w:t>
      </w:r>
      <w:r w:rsidR="00EA68F7" w:rsidRPr="00A756C8">
        <w:rPr>
          <w:rFonts w:ascii="Arial" w:hAnsi="Arial" w:cs="Arial"/>
        </w:rPr>
        <w:t>dans l’</w:t>
      </w:r>
      <w:r w:rsidR="00091E3F" w:rsidRPr="00A756C8">
        <w:rPr>
          <w:rFonts w:ascii="Arial" w:hAnsi="Arial" w:cs="Arial"/>
        </w:rPr>
        <w:t xml:space="preserve">étude </w:t>
      </w:r>
      <w:proofErr w:type="spellStart"/>
      <w:r w:rsidR="00091E3F" w:rsidRPr="00A756C8">
        <w:rPr>
          <w:rFonts w:ascii="Arial" w:hAnsi="Arial" w:cs="Arial"/>
        </w:rPr>
        <w:t>Propila-rifax</w:t>
      </w:r>
      <w:proofErr w:type="spellEnd"/>
      <w:r w:rsidR="00091E3F" w:rsidRPr="00A756C8">
        <w:rPr>
          <w:rFonts w:ascii="Arial" w:hAnsi="Arial" w:cs="Arial"/>
        </w:rPr>
        <w:t xml:space="preserve"> (PHRC national</w:t>
      </w:r>
      <w:r w:rsidR="00E03565" w:rsidRPr="00A756C8">
        <w:rPr>
          <w:rFonts w:ascii="Arial" w:hAnsi="Arial" w:cs="Arial"/>
        </w:rPr>
        <w:t xml:space="preserve"> NCT03069131</w:t>
      </w:r>
      <w:r w:rsidR="00EA68F7" w:rsidRPr="00A756C8">
        <w:rPr>
          <w:rFonts w:ascii="Arial" w:hAnsi="Arial" w:cs="Arial"/>
        </w:rPr>
        <w:t>) qui permettra de répondre à cette question.</w:t>
      </w:r>
    </w:p>
    <w:p w14:paraId="392A22C1" w14:textId="77777777" w:rsidR="005929C0" w:rsidRPr="00A756C8" w:rsidRDefault="005929C0" w:rsidP="005929C0">
      <w:pPr>
        <w:pStyle w:val="Paragraphedeliste"/>
        <w:jc w:val="both"/>
        <w:rPr>
          <w:rFonts w:ascii="Arial" w:hAnsi="Arial" w:cs="Arial"/>
          <w:bCs/>
        </w:rPr>
      </w:pPr>
    </w:p>
    <w:p w14:paraId="53C3B2D2" w14:textId="0E217270" w:rsidR="00674AF5" w:rsidRPr="00A756C8" w:rsidRDefault="00EA68F7" w:rsidP="00674AF5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Cs/>
        </w:rPr>
      </w:pPr>
      <w:r w:rsidRPr="00A756C8">
        <w:rPr>
          <w:rFonts w:ascii="Arial" w:hAnsi="Arial" w:cs="Arial"/>
        </w:rPr>
        <w:t xml:space="preserve">En cas d’indication à une prophylaxie </w:t>
      </w:r>
      <w:r w:rsidRPr="00A756C8">
        <w:rPr>
          <w:rFonts w:ascii="Arial" w:hAnsi="Arial" w:cs="Arial"/>
          <w:b/>
          <w:bCs/>
        </w:rPr>
        <w:t>le 1</w:t>
      </w:r>
      <w:r w:rsidRPr="00A756C8">
        <w:rPr>
          <w:rFonts w:ascii="Arial" w:hAnsi="Arial" w:cs="Arial"/>
          <w:b/>
          <w:bCs/>
          <w:vertAlign w:val="superscript"/>
        </w:rPr>
        <w:t>er</w:t>
      </w:r>
      <w:r w:rsidRPr="00A756C8">
        <w:rPr>
          <w:rFonts w:ascii="Arial" w:hAnsi="Arial" w:cs="Arial"/>
          <w:b/>
          <w:bCs/>
        </w:rPr>
        <w:t xml:space="preserve"> choix</w:t>
      </w:r>
      <w:r w:rsidRPr="00A756C8">
        <w:rPr>
          <w:rFonts w:ascii="Arial" w:hAnsi="Arial" w:cs="Arial"/>
        </w:rPr>
        <w:t xml:space="preserve"> </w:t>
      </w:r>
      <w:r w:rsidR="003033CB" w:rsidRPr="00A756C8">
        <w:rPr>
          <w:rFonts w:ascii="Arial" w:hAnsi="Arial" w:cs="Arial"/>
        </w:rPr>
        <w:t xml:space="preserve">se porte sur </w:t>
      </w:r>
      <w:r w:rsidR="00384B68" w:rsidRPr="00A756C8">
        <w:rPr>
          <w:rFonts w:ascii="Arial" w:hAnsi="Arial" w:cs="Arial"/>
        </w:rPr>
        <w:t xml:space="preserve">la </w:t>
      </w:r>
      <w:r w:rsidR="00384B68" w:rsidRPr="00A756C8">
        <w:rPr>
          <w:rFonts w:ascii="Arial" w:hAnsi="Arial" w:cs="Arial"/>
          <w:b/>
        </w:rPr>
        <w:t>ciprofloxacine</w:t>
      </w:r>
      <w:r w:rsidR="00384B68" w:rsidRPr="00A756C8">
        <w:rPr>
          <w:rFonts w:ascii="Arial" w:hAnsi="Arial" w:cs="Arial"/>
        </w:rPr>
        <w:t xml:space="preserve"> à la posologie de 500 mg par jour. </w:t>
      </w:r>
      <w:r w:rsidR="00E86168" w:rsidRPr="00A756C8">
        <w:rPr>
          <w:rFonts w:ascii="Arial" w:hAnsi="Arial" w:cs="Arial"/>
        </w:rPr>
        <w:t xml:space="preserve">La ciprofloxacine est la seule fluoroquinolone étudiée dans cette indication </w:t>
      </w:r>
      <w:r w:rsidR="00051463">
        <w:rPr>
          <w:rFonts w:ascii="Arial" w:hAnsi="Arial" w:cs="Arial"/>
        </w:rPr>
        <w:t xml:space="preserve">en alternative </w:t>
      </w:r>
      <w:r w:rsidR="00E86168" w:rsidRPr="00A756C8">
        <w:rPr>
          <w:rFonts w:ascii="Arial" w:hAnsi="Arial" w:cs="Arial"/>
        </w:rPr>
        <w:t xml:space="preserve">à la </w:t>
      </w:r>
      <w:proofErr w:type="spellStart"/>
      <w:r w:rsidR="00E86168" w:rsidRPr="00A756C8">
        <w:rPr>
          <w:rFonts w:ascii="Arial" w:hAnsi="Arial" w:cs="Arial"/>
        </w:rPr>
        <w:t>norfloxacine</w:t>
      </w:r>
      <w:proofErr w:type="spellEnd"/>
      <w:r w:rsidR="00E86168" w:rsidRPr="00A756C8">
        <w:rPr>
          <w:rFonts w:ascii="Arial" w:hAnsi="Arial" w:cs="Arial"/>
        </w:rPr>
        <w:t xml:space="preserve">. </w:t>
      </w:r>
      <w:r w:rsidR="00674AF5" w:rsidRPr="00A756C8">
        <w:rPr>
          <w:rFonts w:ascii="Arial" w:hAnsi="Arial" w:cs="Arial"/>
        </w:rPr>
        <w:t xml:space="preserve">Malgré </w:t>
      </w:r>
      <w:r w:rsidR="00674AF5" w:rsidRPr="00A756C8">
        <w:rPr>
          <w:rFonts w:ascii="Arial" w:hAnsi="Arial" w:cs="Arial"/>
          <w:lang w:val="fr-CH"/>
        </w:rPr>
        <w:t xml:space="preserve">l’impact important des fluoroquinolones sur le </w:t>
      </w:r>
      <w:proofErr w:type="spellStart"/>
      <w:r w:rsidR="00674AF5" w:rsidRPr="00A756C8">
        <w:rPr>
          <w:rFonts w:ascii="Arial" w:hAnsi="Arial" w:cs="Arial"/>
          <w:lang w:val="fr-CH"/>
        </w:rPr>
        <w:t>microbiote</w:t>
      </w:r>
      <w:proofErr w:type="spellEnd"/>
      <w:r w:rsidR="00674AF5" w:rsidRPr="00A756C8">
        <w:rPr>
          <w:rFonts w:ascii="Arial" w:hAnsi="Arial" w:cs="Arial"/>
          <w:lang w:val="fr-CH"/>
        </w:rPr>
        <w:t xml:space="preserve"> digestif, et en conséquence, du risque d’émergence de bactéries multi-résistantes, l</w:t>
      </w:r>
      <w:r w:rsidR="00384B68" w:rsidRPr="00A756C8">
        <w:rPr>
          <w:rFonts w:ascii="Arial" w:hAnsi="Arial" w:cs="Arial"/>
        </w:rPr>
        <w:t xml:space="preserve">e groupe de travail a considéré </w:t>
      </w:r>
      <w:r w:rsidR="00674AF5" w:rsidRPr="00A756C8">
        <w:rPr>
          <w:rFonts w:ascii="Arial" w:hAnsi="Arial" w:cs="Arial"/>
        </w:rPr>
        <w:t>q</w:t>
      </w:r>
      <w:r w:rsidR="00384B68" w:rsidRPr="00A756C8">
        <w:rPr>
          <w:rFonts w:ascii="Arial" w:hAnsi="Arial" w:cs="Arial"/>
        </w:rPr>
        <w:t xml:space="preserve">ue cette molécule devait être proposée en 1ère intention </w:t>
      </w:r>
      <w:r w:rsidR="00674AF5" w:rsidRPr="00A756C8">
        <w:rPr>
          <w:rFonts w:ascii="Arial" w:hAnsi="Arial" w:cs="Arial"/>
        </w:rPr>
        <w:t xml:space="preserve">en raison d’une meilleure efficacité sur </w:t>
      </w:r>
      <w:r w:rsidR="00674AF5" w:rsidRPr="00A756C8">
        <w:rPr>
          <w:rFonts w:ascii="Arial" w:hAnsi="Arial" w:cs="Arial"/>
          <w:i/>
        </w:rPr>
        <w:t xml:space="preserve">E. </w:t>
      </w:r>
      <w:r w:rsidR="00E86168" w:rsidRPr="00A756C8">
        <w:rPr>
          <w:rFonts w:ascii="Arial" w:hAnsi="Arial" w:cs="Arial"/>
          <w:i/>
        </w:rPr>
        <w:t>c</w:t>
      </w:r>
      <w:r w:rsidR="00674AF5" w:rsidRPr="00A756C8">
        <w:rPr>
          <w:rFonts w:ascii="Arial" w:hAnsi="Arial" w:cs="Arial"/>
          <w:i/>
        </w:rPr>
        <w:t>oli</w:t>
      </w:r>
      <w:r w:rsidR="00674AF5" w:rsidRPr="00A756C8">
        <w:rPr>
          <w:rFonts w:ascii="Arial" w:hAnsi="Arial" w:cs="Arial"/>
        </w:rPr>
        <w:t xml:space="preserve"> en France et des risques iatrogènes rares mais potentiellement graves du </w:t>
      </w:r>
      <w:proofErr w:type="spellStart"/>
      <w:r w:rsidR="00212787" w:rsidRPr="00A756C8">
        <w:rPr>
          <w:rFonts w:ascii="Arial" w:hAnsi="Arial" w:cs="Arial"/>
          <w:b/>
        </w:rPr>
        <w:t>triméthoprime-sulfaméthoxazole</w:t>
      </w:r>
      <w:proofErr w:type="spellEnd"/>
      <w:r w:rsidR="00674AF5" w:rsidRPr="00A756C8">
        <w:rPr>
          <w:rFonts w:ascii="Arial" w:hAnsi="Arial" w:cs="Arial"/>
          <w:b/>
        </w:rPr>
        <w:t xml:space="preserve">. </w:t>
      </w:r>
    </w:p>
    <w:p w14:paraId="15B011EF" w14:textId="77777777" w:rsidR="00674AF5" w:rsidRPr="00A756C8" w:rsidRDefault="00674AF5" w:rsidP="00B44FFC">
      <w:pPr>
        <w:ind w:left="360"/>
        <w:jc w:val="both"/>
        <w:rPr>
          <w:rFonts w:ascii="Arial" w:hAnsi="Arial" w:cs="Arial"/>
          <w:bCs/>
        </w:rPr>
      </w:pPr>
    </w:p>
    <w:p w14:paraId="1EACCA07" w14:textId="15C6B7A9" w:rsidR="00EA68F7" w:rsidRPr="00A756C8" w:rsidRDefault="009C50DB" w:rsidP="00674AF5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lang w:val="fr-CH"/>
        </w:rPr>
      </w:pPr>
      <w:r w:rsidRPr="00A756C8">
        <w:rPr>
          <w:rFonts w:ascii="Arial" w:hAnsi="Arial" w:cs="Arial"/>
        </w:rPr>
        <w:t>Lorsque l</w:t>
      </w:r>
      <w:r w:rsidR="00384B68" w:rsidRPr="00A756C8">
        <w:rPr>
          <w:rFonts w:ascii="Arial" w:hAnsi="Arial" w:cs="Arial"/>
        </w:rPr>
        <w:t xml:space="preserve">a ciprofloxacine </w:t>
      </w:r>
      <w:r w:rsidRPr="00A756C8">
        <w:rPr>
          <w:rFonts w:ascii="Arial" w:hAnsi="Arial" w:cs="Arial"/>
        </w:rPr>
        <w:t>ne peut être utilisé</w:t>
      </w:r>
      <w:r w:rsidR="00384B68" w:rsidRPr="00A756C8">
        <w:rPr>
          <w:rFonts w:ascii="Arial" w:hAnsi="Arial" w:cs="Arial"/>
        </w:rPr>
        <w:t>e</w:t>
      </w:r>
      <w:r w:rsidR="00EA68F7" w:rsidRPr="00A756C8">
        <w:rPr>
          <w:rFonts w:ascii="Arial" w:hAnsi="Arial" w:cs="Arial"/>
        </w:rPr>
        <w:t xml:space="preserve">, </w:t>
      </w:r>
      <w:r w:rsidR="00EA68F7" w:rsidRPr="00A756C8">
        <w:rPr>
          <w:rFonts w:ascii="Arial" w:hAnsi="Arial" w:cs="Arial"/>
          <w:b/>
          <w:bCs/>
        </w:rPr>
        <w:t>le 2ème choix</w:t>
      </w:r>
      <w:r w:rsidR="00EA68F7" w:rsidRPr="00A756C8">
        <w:rPr>
          <w:rFonts w:ascii="Arial" w:hAnsi="Arial" w:cs="Arial"/>
        </w:rPr>
        <w:t xml:space="preserve"> se porte sur </w:t>
      </w:r>
      <w:r w:rsidR="00384B68" w:rsidRPr="00A756C8">
        <w:rPr>
          <w:rFonts w:ascii="Arial" w:hAnsi="Arial" w:cs="Arial"/>
        </w:rPr>
        <w:t>le</w:t>
      </w:r>
      <w:r w:rsidR="00384B68" w:rsidRPr="00A756C8">
        <w:rPr>
          <w:rFonts w:ascii="Arial" w:hAnsi="Arial" w:cs="Arial"/>
          <w:b/>
        </w:rPr>
        <w:t xml:space="preserve"> </w:t>
      </w:r>
      <w:proofErr w:type="spellStart"/>
      <w:r w:rsidR="00212787" w:rsidRPr="00A756C8">
        <w:rPr>
          <w:rFonts w:ascii="Arial" w:hAnsi="Arial" w:cs="Arial"/>
          <w:b/>
        </w:rPr>
        <w:t>triméthoprime-sulfaméthoxazole</w:t>
      </w:r>
      <w:proofErr w:type="spellEnd"/>
      <w:r w:rsidR="00384B68" w:rsidRPr="00A756C8">
        <w:rPr>
          <w:rFonts w:ascii="Arial" w:hAnsi="Arial" w:cs="Arial"/>
          <w:b/>
        </w:rPr>
        <w:t xml:space="preserve"> </w:t>
      </w:r>
      <w:r w:rsidR="00384B68" w:rsidRPr="00A756C8">
        <w:rPr>
          <w:rFonts w:ascii="Arial" w:hAnsi="Arial" w:cs="Arial"/>
        </w:rPr>
        <w:t>800/160, à la posologie de 800/160 mg 1 fois par jour (</w:t>
      </w:r>
      <w:proofErr w:type="spellStart"/>
      <w:r w:rsidR="00384B68" w:rsidRPr="00A756C8">
        <w:rPr>
          <w:rFonts w:ascii="Arial" w:hAnsi="Arial" w:cs="Arial"/>
        </w:rPr>
        <w:t>Bactrim</w:t>
      </w:r>
      <w:proofErr w:type="spellEnd"/>
      <w:r w:rsidR="00384B68" w:rsidRPr="00A756C8">
        <w:rPr>
          <w:rFonts w:ascii="Arial" w:hAnsi="Arial" w:cs="Arial"/>
          <w:lang w:val="fr-CH"/>
        </w:rPr>
        <w:t>®</w:t>
      </w:r>
      <w:r w:rsidR="00384B68" w:rsidRPr="00A756C8">
        <w:rPr>
          <w:rFonts w:ascii="Arial" w:hAnsi="Arial" w:cs="Arial"/>
        </w:rPr>
        <w:t xml:space="preserve"> Forte). Ce traitement nécessite une surveillance hématologique, rénale, et cutanée. Une supplémentation en acide </w:t>
      </w:r>
      <w:proofErr w:type="spellStart"/>
      <w:r w:rsidR="00384B68" w:rsidRPr="00A756C8">
        <w:rPr>
          <w:rFonts w:ascii="Arial" w:hAnsi="Arial" w:cs="Arial"/>
        </w:rPr>
        <w:t>folinique</w:t>
      </w:r>
      <w:proofErr w:type="spellEnd"/>
      <w:r w:rsidR="00384B68" w:rsidRPr="00A756C8">
        <w:rPr>
          <w:rFonts w:ascii="Arial" w:hAnsi="Arial" w:cs="Arial"/>
        </w:rPr>
        <w:t xml:space="preserve"> est à envisager en cas d</w:t>
      </w:r>
      <w:r w:rsidR="00E86168" w:rsidRPr="00A756C8">
        <w:rPr>
          <w:rFonts w:ascii="Arial" w:hAnsi="Arial" w:cs="Arial"/>
        </w:rPr>
        <w:t>’anémie, de</w:t>
      </w:r>
      <w:r w:rsidR="00384B68" w:rsidRPr="00A756C8">
        <w:rPr>
          <w:rFonts w:ascii="Arial" w:hAnsi="Arial" w:cs="Arial"/>
        </w:rPr>
        <w:t xml:space="preserve"> neutropénie ou de carence en folates, à la posologie de 5 mg par jour.</w:t>
      </w:r>
      <w:r w:rsidR="00674AF5" w:rsidRPr="00A756C8">
        <w:rPr>
          <w:rFonts w:ascii="Arial" w:hAnsi="Arial" w:cs="Arial"/>
        </w:rPr>
        <w:t xml:space="preserve"> </w:t>
      </w:r>
      <w:r w:rsidR="00384B68" w:rsidRPr="00A756C8">
        <w:rPr>
          <w:rFonts w:ascii="Arial" w:hAnsi="Arial" w:cs="Arial"/>
        </w:rPr>
        <w:t xml:space="preserve">En cas de rash cutané (survenant en général en début de traitement) le traitement devra être interrompu sans délai. Malgré la contre-indication formelle notifiée dans le résumé des caractéristiques du produit, le groupe de travail a considéré que les études ayant testé le </w:t>
      </w:r>
      <w:proofErr w:type="spellStart"/>
      <w:r w:rsidR="00212787" w:rsidRPr="00A756C8">
        <w:rPr>
          <w:rFonts w:ascii="Arial" w:hAnsi="Arial" w:cs="Arial"/>
        </w:rPr>
        <w:t>triméthoprime-sulfaméthoxazole</w:t>
      </w:r>
      <w:proofErr w:type="spellEnd"/>
      <w:r w:rsidR="00384B68" w:rsidRPr="00A756C8">
        <w:rPr>
          <w:rFonts w:ascii="Arial" w:hAnsi="Arial" w:cs="Arial"/>
        </w:rPr>
        <w:t xml:space="preserve"> dans l’indication de prophylaxie de l’ISLA étai</w:t>
      </w:r>
      <w:r w:rsidR="00EC1B0F">
        <w:rPr>
          <w:rFonts w:ascii="Arial" w:hAnsi="Arial" w:cs="Arial"/>
        </w:rPr>
        <w:t>en</w:t>
      </w:r>
      <w:r w:rsidR="00384B68" w:rsidRPr="00A756C8">
        <w:rPr>
          <w:rFonts w:ascii="Arial" w:hAnsi="Arial" w:cs="Arial"/>
        </w:rPr>
        <w:t>t suffisante</w:t>
      </w:r>
      <w:r w:rsidR="00EC1B0F">
        <w:rPr>
          <w:rFonts w:ascii="Arial" w:hAnsi="Arial" w:cs="Arial"/>
        </w:rPr>
        <w:t>s</w:t>
      </w:r>
      <w:r w:rsidR="00384B68" w:rsidRPr="00A756C8">
        <w:rPr>
          <w:rFonts w:ascii="Arial" w:hAnsi="Arial" w:cs="Arial"/>
        </w:rPr>
        <w:t xml:space="preserve"> pour formuler de telles recommandations. </w:t>
      </w:r>
    </w:p>
    <w:p w14:paraId="65CF3DF7" w14:textId="77777777" w:rsidR="00674AF5" w:rsidRPr="00A756C8" w:rsidRDefault="00674AF5" w:rsidP="00B44FFC">
      <w:pPr>
        <w:rPr>
          <w:rFonts w:ascii="Arial" w:hAnsi="Arial" w:cs="Arial"/>
          <w:lang w:val="fr-CH"/>
        </w:rPr>
      </w:pPr>
    </w:p>
    <w:p w14:paraId="5A891B40" w14:textId="77777777" w:rsidR="00C27AEF" w:rsidRPr="00A756C8" w:rsidRDefault="00C27AEF" w:rsidP="00C27AEF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A756C8">
        <w:rPr>
          <w:rFonts w:ascii="Arial" w:hAnsi="Arial" w:cs="Arial"/>
        </w:rPr>
        <w:t xml:space="preserve">Chez les malades souhaitant poursuivre à leur charge la </w:t>
      </w:r>
      <w:proofErr w:type="spellStart"/>
      <w:r w:rsidRPr="00A756C8">
        <w:rPr>
          <w:rFonts w:ascii="Arial" w:hAnsi="Arial" w:cs="Arial"/>
        </w:rPr>
        <w:t>norfloxacine</w:t>
      </w:r>
      <w:proofErr w:type="spellEnd"/>
      <w:r w:rsidRPr="00A756C8">
        <w:rPr>
          <w:rFonts w:ascii="Arial" w:hAnsi="Arial" w:cs="Arial"/>
        </w:rPr>
        <w:t xml:space="preserve"> à la posologie de 400 mg/jour, cet</w:t>
      </w:r>
      <w:r w:rsidR="00E03565" w:rsidRPr="00A756C8">
        <w:rPr>
          <w:rFonts w:ascii="Arial" w:hAnsi="Arial" w:cs="Arial"/>
        </w:rPr>
        <w:t xml:space="preserve">te option reste bien </w:t>
      </w:r>
      <w:r w:rsidR="005A2ABA" w:rsidRPr="00A756C8">
        <w:rPr>
          <w:rFonts w:ascii="Arial" w:hAnsi="Arial" w:cs="Arial"/>
        </w:rPr>
        <w:t xml:space="preserve">sûr </w:t>
      </w:r>
      <w:r w:rsidR="00E03565" w:rsidRPr="00A756C8">
        <w:rPr>
          <w:rFonts w:ascii="Arial" w:hAnsi="Arial" w:cs="Arial"/>
        </w:rPr>
        <w:t>possib</w:t>
      </w:r>
      <w:r w:rsidRPr="00A756C8">
        <w:rPr>
          <w:rFonts w:ascii="Arial" w:hAnsi="Arial" w:cs="Arial"/>
        </w:rPr>
        <w:t>l</w:t>
      </w:r>
      <w:r w:rsidR="00E03565" w:rsidRPr="00A756C8">
        <w:rPr>
          <w:rFonts w:ascii="Arial" w:hAnsi="Arial" w:cs="Arial"/>
        </w:rPr>
        <w:t>e</w:t>
      </w:r>
      <w:r w:rsidRPr="00A756C8">
        <w:rPr>
          <w:rFonts w:ascii="Arial" w:hAnsi="Arial" w:cs="Arial"/>
        </w:rPr>
        <w:t xml:space="preserve"> tant que le produit est disponible.</w:t>
      </w:r>
    </w:p>
    <w:p w14:paraId="3A1CA955" w14:textId="77777777" w:rsidR="00C27AEF" w:rsidRPr="00A756C8" w:rsidRDefault="00C27AEF" w:rsidP="00C27AEF">
      <w:pPr>
        <w:rPr>
          <w:rFonts w:ascii="Arial" w:hAnsi="Arial" w:cs="Arial"/>
        </w:rPr>
      </w:pPr>
    </w:p>
    <w:p w14:paraId="7898E469" w14:textId="77777777" w:rsidR="00C27AEF" w:rsidRPr="00A756C8" w:rsidRDefault="00C27AEF" w:rsidP="00C27AEF">
      <w:pPr>
        <w:rPr>
          <w:rFonts w:ascii="Arial" w:hAnsi="Arial" w:cs="Arial"/>
          <w:b/>
        </w:rPr>
      </w:pPr>
      <w:r w:rsidRPr="00A756C8">
        <w:rPr>
          <w:rFonts w:ascii="Arial" w:hAnsi="Arial" w:cs="Arial"/>
          <w:b/>
        </w:rPr>
        <w:t>Tableau récapitulatif</w:t>
      </w:r>
    </w:p>
    <w:p w14:paraId="1C7F9BBD" w14:textId="77777777" w:rsidR="00C27AEF" w:rsidRPr="00A756C8" w:rsidRDefault="00C27AEF" w:rsidP="00C27AEF">
      <w:pPr>
        <w:rPr>
          <w:rFonts w:ascii="Arial" w:hAnsi="Arial" w:cs="Arial"/>
        </w:rPr>
      </w:pPr>
    </w:p>
    <w:tbl>
      <w:tblPr>
        <w:tblStyle w:val="Grilledutableau"/>
        <w:tblW w:w="9640" w:type="dxa"/>
        <w:tblLook w:val="04A0" w:firstRow="1" w:lastRow="0" w:firstColumn="1" w:lastColumn="0" w:noHBand="0" w:noVBand="1"/>
      </w:tblPr>
      <w:tblGrid>
        <w:gridCol w:w="2342"/>
        <w:gridCol w:w="3540"/>
        <w:gridCol w:w="3758"/>
      </w:tblGrid>
      <w:tr w:rsidR="00E03565" w:rsidRPr="00A756C8" w14:paraId="39F926A6" w14:textId="77777777" w:rsidTr="00EA012C">
        <w:trPr>
          <w:trHeight w:val="1695"/>
        </w:trPr>
        <w:tc>
          <w:tcPr>
            <w:tcW w:w="9640" w:type="dxa"/>
            <w:gridSpan w:val="3"/>
          </w:tcPr>
          <w:p w14:paraId="6686646B" w14:textId="77777777" w:rsidR="00E03565" w:rsidRPr="00A756C8" w:rsidRDefault="00E03565" w:rsidP="00C27AEF">
            <w:pPr>
              <w:rPr>
                <w:rFonts w:ascii="Arial" w:hAnsi="Arial" w:cs="Arial"/>
                <w:b/>
              </w:rPr>
            </w:pPr>
            <w:r w:rsidRPr="00A756C8">
              <w:rPr>
                <w:rFonts w:ascii="Arial" w:hAnsi="Arial" w:cs="Arial"/>
                <w:b/>
              </w:rPr>
              <w:t>Indications d’antibioprophylaxie</w:t>
            </w:r>
          </w:p>
          <w:p w14:paraId="4CC75701" w14:textId="77777777" w:rsidR="00E03565" w:rsidRPr="00A756C8" w:rsidRDefault="00E03565" w:rsidP="00E03565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A756C8">
              <w:rPr>
                <w:rFonts w:ascii="Arial" w:hAnsi="Arial" w:cs="Arial"/>
              </w:rPr>
              <w:t xml:space="preserve">Prophylaxie </w:t>
            </w:r>
            <w:r w:rsidR="005A2ABA" w:rsidRPr="00A756C8">
              <w:rPr>
                <w:rFonts w:ascii="Arial" w:hAnsi="Arial" w:cs="Arial"/>
              </w:rPr>
              <w:t>prim</w:t>
            </w:r>
            <w:r w:rsidRPr="00A756C8">
              <w:rPr>
                <w:rFonts w:ascii="Arial" w:hAnsi="Arial" w:cs="Arial"/>
              </w:rPr>
              <w:t xml:space="preserve">aire : cirrhose compliquée d’ascite importante pauvre en protides (&lt;15 grammes par litre) </w:t>
            </w:r>
            <w:r w:rsidR="00C91B7B" w:rsidRPr="00A756C8">
              <w:rPr>
                <w:rFonts w:ascii="Arial" w:hAnsi="Arial" w:cs="Arial"/>
              </w:rPr>
              <w:t>et</w:t>
            </w:r>
            <w:r w:rsidR="0075134A" w:rsidRPr="00A756C8">
              <w:rPr>
                <w:rFonts w:ascii="Arial" w:hAnsi="Arial" w:cs="Arial"/>
              </w:rPr>
              <w:t xml:space="preserve"> associée à</w:t>
            </w:r>
            <w:r w:rsidRPr="00A756C8">
              <w:rPr>
                <w:rFonts w:ascii="Arial" w:hAnsi="Arial" w:cs="Arial"/>
              </w:rPr>
              <w:t xml:space="preserve"> une insuffisance hépatique sévère (</w:t>
            </w:r>
            <w:r w:rsidR="00B44FFC" w:rsidRPr="00A756C8">
              <w:rPr>
                <w:rFonts w:ascii="Arial" w:hAnsi="Arial" w:cs="Arial"/>
              </w:rPr>
              <w:t>classe</w:t>
            </w:r>
            <w:r w:rsidRPr="00A756C8">
              <w:rPr>
                <w:rFonts w:ascii="Arial" w:hAnsi="Arial" w:cs="Arial"/>
              </w:rPr>
              <w:t xml:space="preserve"> Child-</w:t>
            </w:r>
            <w:proofErr w:type="spellStart"/>
            <w:r w:rsidRPr="00A756C8">
              <w:rPr>
                <w:rFonts w:ascii="Arial" w:hAnsi="Arial" w:cs="Arial"/>
              </w:rPr>
              <w:t>Pugh</w:t>
            </w:r>
            <w:proofErr w:type="spellEnd"/>
            <w:r w:rsidRPr="00A756C8">
              <w:rPr>
                <w:rFonts w:ascii="Arial" w:hAnsi="Arial" w:cs="Arial"/>
              </w:rPr>
              <w:t xml:space="preserve"> </w:t>
            </w:r>
            <w:r w:rsidR="00B44FFC" w:rsidRPr="00A756C8">
              <w:rPr>
                <w:rFonts w:ascii="Arial" w:hAnsi="Arial" w:cs="Arial"/>
              </w:rPr>
              <w:t>C)</w:t>
            </w:r>
          </w:p>
          <w:p w14:paraId="16619E0D" w14:textId="77777777" w:rsidR="00E03565" w:rsidRPr="00A756C8" w:rsidRDefault="00E03565" w:rsidP="00E03565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A756C8">
              <w:rPr>
                <w:rFonts w:ascii="Arial" w:hAnsi="Arial" w:cs="Arial"/>
              </w:rPr>
              <w:t xml:space="preserve">Prophylaxie </w:t>
            </w:r>
            <w:r w:rsidR="005A2ABA" w:rsidRPr="00A756C8">
              <w:rPr>
                <w:rFonts w:ascii="Arial" w:hAnsi="Arial" w:cs="Arial"/>
              </w:rPr>
              <w:t>second</w:t>
            </w:r>
            <w:r w:rsidRPr="00A756C8">
              <w:rPr>
                <w:rFonts w:ascii="Arial" w:hAnsi="Arial" w:cs="Arial"/>
              </w:rPr>
              <w:t>aire : malades ayant un antécédent d’ISLA</w:t>
            </w:r>
          </w:p>
        </w:tc>
      </w:tr>
      <w:tr w:rsidR="00EA012C" w:rsidRPr="00A756C8" w14:paraId="3438C297" w14:textId="77777777" w:rsidTr="00EA012C">
        <w:trPr>
          <w:trHeight w:val="282"/>
        </w:trPr>
        <w:tc>
          <w:tcPr>
            <w:tcW w:w="2342" w:type="dxa"/>
          </w:tcPr>
          <w:p w14:paraId="264C848D" w14:textId="77777777" w:rsidR="00E03565" w:rsidRPr="00A756C8" w:rsidRDefault="00E03565" w:rsidP="00EA012C">
            <w:pPr>
              <w:jc w:val="center"/>
              <w:rPr>
                <w:rFonts w:ascii="Arial" w:hAnsi="Arial" w:cs="Arial"/>
                <w:b/>
              </w:rPr>
            </w:pPr>
            <w:r w:rsidRPr="00A756C8">
              <w:rPr>
                <w:rFonts w:ascii="Arial" w:hAnsi="Arial" w:cs="Arial"/>
                <w:b/>
              </w:rPr>
              <w:t>Options</w:t>
            </w:r>
          </w:p>
        </w:tc>
        <w:tc>
          <w:tcPr>
            <w:tcW w:w="3540" w:type="dxa"/>
          </w:tcPr>
          <w:p w14:paraId="6085CB52" w14:textId="77777777" w:rsidR="00E03565" w:rsidRPr="00A756C8" w:rsidRDefault="00E03565" w:rsidP="00EA012C">
            <w:pPr>
              <w:jc w:val="center"/>
              <w:rPr>
                <w:rFonts w:ascii="Arial" w:hAnsi="Arial" w:cs="Arial"/>
                <w:b/>
              </w:rPr>
            </w:pPr>
            <w:r w:rsidRPr="00A756C8">
              <w:rPr>
                <w:rFonts w:ascii="Arial" w:hAnsi="Arial" w:cs="Arial"/>
                <w:b/>
              </w:rPr>
              <w:t>Posologie</w:t>
            </w:r>
          </w:p>
        </w:tc>
        <w:tc>
          <w:tcPr>
            <w:tcW w:w="3758" w:type="dxa"/>
          </w:tcPr>
          <w:p w14:paraId="07D5E82D" w14:textId="77777777" w:rsidR="00E03565" w:rsidRPr="00A756C8" w:rsidRDefault="00E03565" w:rsidP="00EA012C">
            <w:pPr>
              <w:jc w:val="center"/>
              <w:rPr>
                <w:rFonts w:ascii="Arial" w:hAnsi="Arial" w:cs="Arial"/>
                <w:b/>
              </w:rPr>
            </w:pPr>
            <w:r w:rsidRPr="00A756C8">
              <w:rPr>
                <w:rFonts w:ascii="Arial" w:hAnsi="Arial" w:cs="Arial"/>
                <w:b/>
              </w:rPr>
              <w:t>Remarques</w:t>
            </w:r>
          </w:p>
        </w:tc>
      </w:tr>
      <w:tr w:rsidR="00EA012C" w:rsidRPr="00A756C8" w14:paraId="08CA629A" w14:textId="77777777" w:rsidTr="00EA012C">
        <w:trPr>
          <w:trHeight w:val="282"/>
        </w:trPr>
        <w:tc>
          <w:tcPr>
            <w:tcW w:w="2342" w:type="dxa"/>
          </w:tcPr>
          <w:p w14:paraId="008DF632" w14:textId="77777777" w:rsidR="00E03565" w:rsidRPr="00A756C8" w:rsidRDefault="00E03565" w:rsidP="00C27AEF">
            <w:pPr>
              <w:rPr>
                <w:rFonts w:ascii="Arial" w:hAnsi="Arial" w:cs="Arial"/>
              </w:rPr>
            </w:pPr>
            <w:proofErr w:type="spellStart"/>
            <w:r w:rsidRPr="00A756C8">
              <w:rPr>
                <w:rFonts w:ascii="Arial" w:hAnsi="Arial" w:cs="Arial"/>
              </w:rPr>
              <w:t>Norfloxacine</w:t>
            </w:r>
            <w:proofErr w:type="spellEnd"/>
          </w:p>
        </w:tc>
        <w:tc>
          <w:tcPr>
            <w:tcW w:w="3540" w:type="dxa"/>
          </w:tcPr>
          <w:p w14:paraId="612A9FBF" w14:textId="77777777" w:rsidR="00E03565" w:rsidRPr="00A756C8" w:rsidRDefault="00E03565" w:rsidP="00C27AEF">
            <w:pPr>
              <w:rPr>
                <w:rFonts w:ascii="Arial" w:hAnsi="Arial" w:cs="Arial"/>
              </w:rPr>
            </w:pPr>
            <w:r w:rsidRPr="00A756C8">
              <w:rPr>
                <w:rFonts w:ascii="Arial" w:hAnsi="Arial" w:cs="Arial"/>
              </w:rPr>
              <w:t>400 mg 1 fois par jour</w:t>
            </w:r>
          </w:p>
        </w:tc>
        <w:tc>
          <w:tcPr>
            <w:tcW w:w="3758" w:type="dxa"/>
          </w:tcPr>
          <w:p w14:paraId="3B3F5C72" w14:textId="77777777" w:rsidR="00E03565" w:rsidRPr="00A756C8" w:rsidRDefault="00E03565" w:rsidP="00C27AEF">
            <w:pPr>
              <w:rPr>
                <w:rFonts w:ascii="Arial" w:hAnsi="Arial" w:cs="Arial"/>
              </w:rPr>
            </w:pPr>
            <w:r w:rsidRPr="00A756C8">
              <w:rPr>
                <w:rFonts w:ascii="Arial" w:hAnsi="Arial" w:cs="Arial"/>
              </w:rPr>
              <w:t>A la charge du patient</w:t>
            </w:r>
          </w:p>
        </w:tc>
      </w:tr>
      <w:tr w:rsidR="00592E60" w:rsidRPr="00A756C8" w14:paraId="5A09C903" w14:textId="77777777" w:rsidTr="00EA012C">
        <w:trPr>
          <w:trHeight w:val="1413"/>
        </w:trPr>
        <w:tc>
          <w:tcPr>
            <w:tcW w:w="2342" w:type="dxa"/>
          </w:tcPr>
          <w:p w14:paraId="5735519C" w14:textId="77777777" w:rsidR="00592E60" w:rsidRPr="00A756C8" w:rsidRDefault="00592E60" w:rsidP="00592E60">
            <w:pPr>
              <w:rPr>
                <w:rFonts w:ascii="Arial" w:hAnsi="Arial" w:cs="Arial"/>
              </w:rPr>
            </w:pPr>
            <w:r w:rsidRPr="00A756C8">
              <w:rPr>
                <w:rFonts w:ascii="Arial" w:hAnsi="Arial" w:cs="Arial"/>
              </w:rPr>
              <w:t>Ciprofloxacine</w:t>
            </w:r>
          </w:p>
        </w:tc>
        <w:tc>
          <w:tcPr>
            <w:tcW w:w="3540" w:type="dxa"/>
          </w:tcPr>
          <w:p w14:paraId="3388B932" w14:textId="77777777" w:rsidR="00592E60" w:rsidRPr="00A756C8" w:rsidRDefault="00592E60" w:rsidP="00592E60">
            <w:pPr>
              <w:rPr>
                <w:rFonts w:ascii="Arial" w:hAnsi="Arial" w:cs="Arial"/>
              </w:rPr>
            </w:pPr>
            <w:r w:rsidRPr="00A756C8">
              <w:rPr>
                <w:rFonts w:ascii="Arial" w:hAnsi="Arial" w:cs="Arial"/>
              </w:rPr>
              <w:t>500 mg 1 fois par jour</w:t>
            </w:r>
          </w:p>
        </w:tc>
        <w:tc>
          <w:tcPr>
            <w:tcW w:w="3758" w:type="dxa"/>
          </w:tcPr>
          <w:p w14:paraId="1F357FBE" w14:textId="77777777" w:rsidR="00592E60" w:rsidRPr="00A756C8" w:rsidRDefault="00592E60" w:rsidP="00592E60">
            <w:pPr>
              <w:rPr>
                <w:rFonts w:ascii="Arial" w:hAnsi="Arial" w:cs="Arial"/>
              </w:rPr>
            </w:pPr>
            <w:r w:rsidRPr="00A756C8">
              <w:rPr>
                <w:rFonts w:ascii="Arial" w:hAnsi="Arial" w:cs="Arial"/>
              </w:rPr>
              <w:t>Surveillance des tendinopathies, prévention de la photosensibilisation</w:t>
            </w:r>
          </w:p>
          <w:p w14:paraId="627267ED" w14:textId="77777777" w:rsidR="00592E60" w:rsidRPr="00A756C8" w:rsidRDefault="00A756C8" w:rsidP="00592E60">
            <w:pPr>
              <w:rPr>
                <w:rFonts w:ascii="Arial" w:hAnsi="Arial" w:cs="Arial"/>
              </w:rPr>
            </w:pPr>
            <w:r w:rsidRPr="00A756C8">
              <w:rPr>
                <w:rFonts w:ascii="Arial" w:hAnsi="Arial" w:cs="Arial"/>
              </w:rPr>
              <w:t>P</w:t>
            </w:r>
            <w:r w:rsidR="00592E60" w:rsidRPr="00A756C8">
              <w:rPr>
                <w:rFonts w:ascii="Arial" w:hAnsi="Arial" w:cs="Arial"/>
              </w:rPr>
              <w:t>osologie à adapter à la fonction rénale</w:t>
            </w:r>
          </w:p>
        </w:tc>
      </w:tr>
      <w:tr w:rsidR="00592E60" w:rsidRPr="00A756C8" w14:paraId="33817E1A" w14:textId="77777777" w:rsidTr="00EA012C">
        <w:trPr>
          <w:trHeight w:val="1413"/>
        </w:trPr>
        <w:tc>
          <w:tcPr>
            <w:tcW w:w="2342" w:type="dxa"/>
          </w:tcPr>
          <w:p w14:paraId="447150BB" w14:textId="77777777" w:rsidR="00592E60" w:rsidRPr="00A756C8" w:rsidRDefault="00212787" w:rsidP="00592E60">
            <w:pPr>
              <w:rPr>
                <w:rFonts w:ascii="Arial" w:hAnsi="Arial" w:cs="Arial"/>
              </w:rPr>
            </w:pPr>
            <w:proofErr w:type="spellStart"/>
            <w:r w:rsidRPr="00A756C8">
              <w:rPr>
                <w:rFonts w:ascii="Arial" w:hAnsi="Arial" w:cs="Arial"/>
              </w:rPr>
              <w:t>Triméthoprime-sulfaméthoxazole</w:t>
            </w:r>
            <w:proofErr w:type="spellEnd"/>
          </w:p>
        </w:tc>
        <w:tc>
          <w:tcPr>
            <w:tcW w:w="3540" w:type="dxa"/>
          </w:tcPr>
          <w:p w14:paraId="4A32EB34" w14:textId="77777777" w:rsidR="00592E60" w:rsidRPr="00A756C8" w:rsidRDefault="00592E60" w:rsidP="00592E60">
            <w:pPr>
              <w:rPr>
                <w:rFonts w:ascii="Arial" w:hAnsi="Arial" w:cs="Arial"/>
              </w:rPr>
            </w:pPr>
            <w:r w:rsidRPr="00A756C8">
              <w:rPr>
                <w:rFonts w:ascii="Arial" w:hAnsi="Arial" w:cs="Arial"/>
              </w:rPr>
              <w:t>800/160 mg 1 fois par jour</w:t>
            </w:r>
          </w:p>
        </w:tc>
        <w:tc>
          <w:tcPr>
            <w:tcW w:w="3758" w:type="dxa"/>
          </w:tcPr>
          <w:p w14:paraId="1E75F87E" w14:textId="77777777" w:rsidR="00592E60" w:rsidRPr="00A756C8" w:rsidRDefault="00592E60" w:rsidP="00592E60">
            <w:pPr>
              <w:rPr>
                <w:rFonts w:ascii="Arial" w:hAnsi="Arial" w:cs="Arial"/>
              </w:rPr>
            </w:pPr>
            <w:r w:rsidRPr="00A756C8">
              <w:rPr>
                <w:rFonts w:ascii="Arial" w:hAnsi="Arial" w:cs="Arial"/>
              </w:rPr>
              <w:t>Surveillance toxicité hématologique, rénale, cutanée et hépatique</w:t>
            </w:r>
          </w:p>
          <w:p w14:paraId="2ECAC201" w14:textId="77777777" w:rsidR="00592E60" w:rsidRPr="00A756C8" w:rsidRDefault="00592E60" w:rsidP="00592E60">
            <w:pPr>
              <w:rPr>
                <w:rFonts w:ascii="Arial" w:hAnsi="Arial" w:cs="Arial"/>
              </w:rPr>
            </w:pPr>
            <w:r w:rsidRPr="00A756C8">
              <w:rPr>
                <w:rFonts w:ascii="Arial" w:hAnsi="Arial" w:cs="Arial"/>
              </w:rPr>
              <w:t xml:space="preserve">Envisager supplémentation en acide </w:t>
            </w:r>
            <w:proofErr w:type="spellStart"/>
            <w:r w:rsidRPr="00A756C8">
              <w:rPr>
                <w:rFonts w:ascii="Arial" w:hAnsi="Arial" w:cs="Arial"/>
              </w:rPr>
              <w:t>folinique</w:t>
            </w:r>
            <w:proofErr w:type="spellEnd"/>
            <w:r w:rsidRPr="00A756C8">
              <w:rPr>
                <w:rFonts w:ascii="Arial" w:hAnsi="Arial" w:cs="Arial"/>
              </w:rPr>
              <w:t xml:space="preserve"> en cas </w:t>
            </w:r>
            <w:r w:rsidR="005A2ABA" w:rsidRPr="00A756C8">
              <w:rPr>
                <w:rFonts w:ascii="Arial" w:hAnsi="Arial" w:cs="Arial"/>
              </w:rPr>
              <w:t xml:space="preserve">d’anémie ou </w:t>
            </w:r>
            <w:r w:rsidRPr="00A756C8">
              <w:rPr>
                <w:rFonts w:ascii="Arial" w:hAnsi="Arial" w:cs="Arial"/>
              </w:rPr>
              <w:t xml:space="preserve">de neutropénie ou carence en </w:t>
            </w:r>
            <w:r w:rsidRPr="00A756C8">
              <w:rPr>
                <w:rFonts w:ascii="Arial" w:hAnsi="Arial" w:cs="Arial"/>
              </w:rPr>
              <w:lastRenderedPageBreak/>
              <w:t>folates</w:t>
            </w:r>
          </w:p>
        </w:tc>
      </w:tr>
      <w:tr w:rsidR="00592E60" w:rsidRPr="00A756C8" w14:paraId="1A15DE48" w14:textId="77777777" w:rsidTr="00EA012C">
        <w:trPr>
          <w:trHeight w:val="848"/>
        </w:trPr>
        <w:tc>
          <w:tcPr>
            <w:tcW w:w="2342" w:type="dxa"/>
          </w:tcPr>
          <w:p w14:paraId="09CF67D7" w14:textId="77777777" w:rsidR="00592E60" w:rsidRPr="00A756C8" w:rsidRDefault="00592E60" w:rsidP="00592E60">
            <w:pPr>
              <w:rPr>
                <w:rFonts w:ascii="Arial" w:hAnsi="Arial" w:cs="Arial"/>
              </w:rPr>
            </w:pPr>
            <w:proofErr w:type="spellStart"/>
            <w:r w:rsidRPr="00A756C8">
              <w:rPr>
                <w:rFonts w:ascii="Arial" w:hAnsi="Arial" w:cs="Arial"/>
              </w:rPr>
              <w:lastRenderedPageBreak/>
              <w:t>Rifaximine</w:t>
            </w:r>
            <w:proofErr w:type="spellEnd"/>
          </w:p>
        </w:tc>
        <w:tc>
          <w:tcPr>
            <w:tcW w:w="3540" w:type="dxa"/>
          </w:tcPr>
          <w:p w14:paraId="74CF6603" w14:textId="77777777" w:rsidR="00592E60" w:rsidRPr="00A756C8" w:rsidRDefault="00592E60" w:rsidP="00592E60">
            <w:pPr>
              <w:rPr>
                <w:rFonts w:ascii="Arial" w:hAnsi="Arial" w:cs="Arial"/>
              </w:rPr>
            </w:pPr>
            <w:r w:rsidRPr="00A756C8">
              <w:rPr>
                <w:rFonts w:ascii="Arial" w:hAnsi="Arial" w:cs="Arial"/>
              </w:rPr>
              <w:t>550 mg 2 fois par jour</w:t>
            </w:r>
          </w:p>
        </w:tc>
        <w:tc>
          <w:tcPr>
            <w:tcW w:w="3758" w:type="dxa"/>
          </w:tcPr>
          <w:p w14:paraId="53898929" w14:textId="77777777" w:rsidR="00592E60" w:rsidRPr="00A756C8" w:rsidRDefault="00592E60" w:rsidP="00592E60">
            <w:pPr>
              <w:rPr>
                <w:rFonts w:ascii="Arial" w:hAnsi="Arial" w:cs="Arial"/>
              </w:rPr>
            </w:pPr>
            <w:r w:rsidRPr="00A756C8">
              <w:rPr>
                <w:rFonts w:ascii="Arial" w:hAnsi="Arial" w:cs="Arial"/>
              </w:rPr>
              <w:t>En cas d’encéphalopathie hépatique associée</w:t>
            </w:r>
          </w:p>
          <w:p w14:paraId="5E5FBE56" w14:textId="77777777" w:rsidR="00592E60" w:rsidRPr="00A756C8" w:rsidRDefault="00592E60" w:rsidP="00592E60">
            <w:pPr>
              <w:rPr>
                <w:rFonts w:ascii="Arial" w:hAnsi="Arial" w:cs="Arial"/>
              </w:rPr>
            </w:pPr>
            <w:r w:rsidRPr="00A756C8">
              <w:rPr>
                <w:rFonts w:ascii="Arial" w:hAnsi="Arial" w:cs="Arial"/>
              </w:rPr>
              <w:t xml:space="preserve">Sinon : dans le cadre de l’essai </w:t>
            </w:r>
            <w:proofErr w:type="spellStart"/>
            <w:r w:rsidRPr="00A756C8">
              <w:rPr>
                <w:rFonts w:ascii="Arial" w:hAnsi="Arial" w:cs="Arial"/>
              </w:rPr>
              <w:t>Propila-Rifax</w:t>
            </w:r>
            <w:proofErr w:type="spellEnd"/>
            <w:r w:rsidRPr="00A756C8">
              <w:rPr>
                <w:rFonts w:ascii="Arial" w:hAnsi="Arial" w:cs="Arial"/>
              </w:rPr>
              <w:t xml:space="preserve"> si prophylaxie primaire</w:t>
            </w:r>
          </w:p>
        </w:tc>
      </w:tr>
    </w:tbl>
    <w:p w14:paraId="53FD3F5B" w14:textId="77777777" w:rsidR="00E03565" w:rsidRPr="00A756C8" w:rsidRDefault="00E03565" w:rsidP="00C27AEF">
      <w:pPr>
        <w:rPr>
          <w:rFonts w:ascii="Arial" w:hAnsi="Arial" w:cs="Arial"/>
        </w:rPr>
      </w:pPr>
    </w:p>
    <w:p w14:paraId="66FA8184" w14:textId="77777777" w:rsidR="00051463" w:rsidRDefault="00051463" w:rsidP="00C27AEF">
      <w:pPr>
        <w:rPr>
          <w:rFonts w:ascii="Arial" w:hAnsi="Arial" w:cs="Arial"/>
          <w:b/>
        </w:rPr>
      </w:pPr>
    </w:p>
    <w:p w14:paraId="35745FAC" w14:textId="77777777" w:rsidR="00C75A2F" w:rsidRPr="00A756C8" w:rsidRDefault="00C75A2F" w:rsidP="00C27AEF">
      <w:pPr>
        <w:rPr>
          <w:rFonts w:ascii="Arial" w:hAnsi="Arial" w:cs="Arial"/>
          <w:b/>
        </w:rPr>
      </w:pPr>
      <w:r w:rsidRPr="00A756C8">
        <w:rPr>
          <w:rFonts w:ascii="Arial" w:hAnsi="Arial" w:cs="Arial"/>
          <w:b/>
        </w:rPr>
        <w:t>Références</w:t>
      </w:r>
    </w:p>
    <w:p w14:paraId="4C872C9D" w14:textId="77777777" w:rsidR="00A756C8" w:rsidRPr="00A756C8" w:rsidRDefault="00A756C8" w:rsidP="00A756C8">
      <w:pPr>
        <w:pStyle w:val="Bibliographie2"/>
        <w:rPr>
          <w:lang w:val="en-US"/>
        </w:rPr>
      </w:pPr>
      <w:r w:rsidRPr="00A756C8">
        <w:fldChar w:fldCharType="begin"/>
      </w:r>
      <w:r w:rsidRPr="00A756C8">
        <w:instrText xml:space="preserve"> ADDIN ZOTERO_BIBL {"uncited":[],"omitted":[],"custom":[]} CSL_BIBLIOGRAPHY </w:instrText>
      </w:r>
      <w:r w:rsidRPr="00A756C8">
        <w:fldChar w:fldCharType="separate"/>
      </w:r>
      <w:r w:rsidRPr="00A756C8">
        <w:t xml:space="preserve">1. </w:t>
      </w:r>
      <w:r w:rsidRPr="00A756C8">
        <w:tab/>
        <w:t xml:space="preserve">Alvarez RF, Mattos AA de, Corrêa EBD, et al. </w:t>
      </w:r>
      <w:r w:rsidRPr="00A756C8">
        <w:rPr>
          <w:lang w:val="en-US"/>
        </w:rPr>
        <w:t>Trimethoprim-sulfamethoxazole versus norfloxacin in the prophylaxis of spontaneous bacterial peritonitis in cirrhosis. Arq Gastroenterol 2005;42:256–262.</w:t>
      </w:r>
    </w:p>
    <w:p w14:paraId="78C768C9" w14:textId="77777777" w:rsidR="00A756C8" w:rsidRPr="00A756C8" w:rsidRDefault="00A756C8" w:rsidP="00A756C8">
      <w:pPr>
        <w:pStyle w:val="Bibliographie2"/>
        <w:rPr>
          <w:lang w:val="en-US"/>
        </w:rPr>
      </w:pPr>
      <w:r w:rsidRPr="00A756C8">
        <w:rPr>
          <w:lang w:val="en-US"/>
        </w:rPr>
        <w:t xml:space="preserve">2. </w:t>
      </w:r>
      <w:r w:rsidRPr="00A756C8">
        <w:rPr>
          <w:lang w:val="en-US"/>
        </w:rPr>
        <w:tab/>
        <w:t>Assem M, Elsabaawy M, Abdelrashed M, et al. Efficacy and safety of alternating norfloxacin and rifaximin as primary prophylaxis for spontaneous bacterial peritonitis in cirrhotic ascites: a prospective randomized open-label comparative multicenter study. Hepatol Int 2016;10:377–385.</w:t>
      </w:r>
    </w:p>
    <w:p w14:paraId="150BDA7D" w14:textId="77777777" w:rsidR="00A756C8" w:rsidRPr="00A756C8" w:rsidRDefault="00A756C8" w:rsidP="00A756C8">
      <w:pPr>
        <w:pStyle w:val="Bibliographie2"/>
        <w:rPr>
          <w:lang w:val="en-US"/>
        </w:rPr>
      </w:pPr>
      <w:r w:rsidRPr="00A756C8">
        <w:rPr>
          <w:lang w:val="en-US"/>
        </w:rPr>
        <w:t xml:space="preserve">3. </w:t>
      </w:r>
      <w:r w:rsidRPr="00A756C8">
        <w:rPr>
          <w:lang w:val="en-US"/>
        </w:rPr>
        <w:tab/>
        <w:t>Elfert A, Abo Ali L, Soliman S, et al. Randomized-controlled trial of rifaximin versus norfloxacin for secondary prophylaxis of spontaneous bacterial peritonitis. Eur J Gastroenterol Hepatol 2016;28:1450–1454.</w:t>
      </w:r>
    </w:p>
    <w:p w14:paraId="02C99D71" w14:textId="77777777" w:rsidR="00A756C8" w:rsidRPr="00A756C8" w:rsidRDefault="00A756C8" w:rsidP="00A756C8">
      <w:pPr>
        <w:pStyle w:val="Bibliographie2"/>
      </w:pPr>
      <w:r w:rsidRPr="00A756C8">
        <w:rPr>
          <w:lang w:val="en-US"/>
        </w:rPr>
        <w:t xml:space="preserve">4. </w:t>
      </w:r>
      <w:r w:rsidRPr="00A756C8">
        <w:rPr>
          <w:lang w:val="en-US"/>
        </w:rPr>
        <w:tab/>
        <w:t xml:space="preserve">Lontos S, Shelton E, Angus PW, et al. A randomized controlled study of trimethoprim-sulfamethoxazole versus norfloxacin for the prevention of infection in cirrhotic patients. </w:t>
      </w:r>
      <w:r w:rsidRPr="00A756C8">
        <w:t>J Dig Dis 2014;15:260–267.</w:t>
      </w:r>
    </w:p>
    <w:p w14:paraId="14185156" w14:textId="5BF996CC" w:rsidR="00EE5E8D" w:rsidRPr="00051463" w:rsidRDefault="00A756C8" w:rsidP="00A756C8">
      <w:pPr>
        <w:pStyle w:val="Bibliographie2"/>
        <w:rPr>
          <w:color w:val="000000"/>
          <w:sz w:val="18"/>
          <w:szCs w:val="18"/>
          <w:shd w:val="clear" w:color="auto" w:fill="FFFFFF"/>
          <w:lang w:val="en-US"/>
        </w:rPr>
      </w:pPr>
      <w:r w:rsidRPr="00A756C8">
        <w:t xml:space="preserve">5. </w:t>
      </w:r>
      <w:r w:rsidRPr="00A756C8">
        <w:tab/>
        <w:t xml:space="preserve">Moreau R, Elkrief L, Bureau C, et al. </w:t>
      </w:r>
      <w:r w:rsidRPr="00A756C8">
        <w:rPr>
          <w:lang w:val="en-US"/>
        </w:rPr>
        <w:t xml:space="preserve">Effects of Long-term Norfloxacin Therapy in Patients with Advanced Cirrhosis. Gastroenterology </w:t>
      </w:r>
      <w:r w:rsidR="00EE5E8D" w:rsidRPr="00051463">
        <w:rPr>
          <w:color w:val="000000"/>
          <w:shd w:val="clear" w:color="auto" w:fill="FFFFFF"/>
          <w:lang w:val="en-US"/>
        </w:rPr>
        <w:t>2018;155:1816-1827.e9. </w:t>
      </w:r>
    </w:p>
    <w:p w14:paraId="09A16F24" w14:textId="55EA2EF5" w:rsidR="00A756C8" w:rsidRPr="00A756C8" w:rsidRDefault="00A756C8" w:rsidP="00A756C8">
      <w:pPr>
        <w:pStyle w:val="Bibliographie2"/>
        <w:rPr>
          <w:lang w:val="en-US"/>
        </w:rPr>
      </w:pPr>
      <w:r w:rsidRPr="00A756C8">
        <w:rPr>
          <w:lang w:val="en-US"/>
        </w:rPr>
        <w:t xml:space="preserve">6. </w:t>
      </w:r>
      <w:r w:rsidRPr="00A756C8">
        <w:rPr>
          <w:lang w:val="en-US"/>
        </w:rPr>
        <w:tab/>
        <w:t>Mostafa T, Badra G, Abdallah M. The efficacy and the immunomodulatory effect of rifaximin in prophylaxis of spontaneous bacterial peritonitis in cirrhotic Egyptian patients. Turk J Gastroenterol Off J Turk Soc Gastroenterol 2015;26:163–169.</w:t>
      </w:r>
    </w:p>
    <w:p w14:paraId="113165B4" w14:textId="77777777" w:rsidR="00A756C8" w:rsidRPr="00A756C8" w:rsidRDefault="00A756C8" w:rsidP="00A756C8">
      <w:pPr>
        <w:pStyle w:val="Bibliographie2"/>
        <w:rPr>
          <w:lang w:val="en-US"/>
        </w:rPr>
      </w:pPr>
      <w:r w:rsidRPr="00A756C8">
        <w:rPr>
          <w:lang w:val="en-US"/>
        </w:rPr>
        <w:t xml:space="preserve">7. </w:t>
      </w:r>
      <w:r w:rsidRPr="00A756C8">
        <w:rPr>
          <w:lang w:val="en-US"/>
        </w:rPr>
        <w:tab/>
        <w:t>Rolachon A, Cordier L, Bacq Y, et al. Ciprofloxacin and long-term prevention of spontaneous bacterial peritonitis: results of a prospective controlled trial. Hepatol Baltim Md 1995;22:1171–1174.</w:t>
      </w:r>
    </w:p>
    <w:p w14:paraId="2F17665D" w14:textId="77777777" w:rsidR="00A756C8" w:rsidRPr="00A756C8" w:rsidRDefault="00A756C8" w:rsidP="00A756C8">
      <w:pPr>
        <w:pStyle w:val="Bibliographie2"/>
        <w:rPr>
          <w:lang w:val="en-US"/>
        </w:rPr>
      </w:pPr>
      <w:r w:rsidRPr="00A756C8">
        <w:rPr>
          <w:lang w:val="en-US"/>
        </w:rPr>
        <w:t xml:space="preserve">8. </w:t>
      </w:r>
      <w:r w:rsidRPr="00A756C8">
        <w:rPr>
          <w:lang w:val="en-US"/>
        </w:rPr>
        <w:tab/>
        <w:t>Singh N. Trimethoprim-Sulfamethoxazole for the Prevention of Spontaneous Bacterial Peritonitis in Cirrhosis: A Randomized Trial. Ann Intern Med 1995;122:595.</w:t>
      </w:r>
    </w:p>
    <w:p w14:paraId="2FBEC4AB" w14:textId="77777777" w:rsidR="00A756C8" w:rsidRPr="00A756C8" w:rsidRDefault="00A756C8" w:rsidP="00A756C8">
      <w:pPr>
        <w:pStyle w:val="Bibliographie2"/>
        <w:rPr>
          <w:lang w:val="en-US"/>
        </w:rPr>
      </w:pPr>
      <w:r w:rsidRPr="00A756C8">
        <w:rPr>
          <w:lang w:val="en-US"/>
        </w:rPr>
        <w:t xml:space="preserve">9. </w:t>
      </w:r>
      <w:r w:rsidRPr="00A756C8">
        <w:rPr>
          <w:lang w:val="en-US"/>
        </w:rPr>
        <w:tab/>
        <w:t>Terg R, Fassio E, Guevara M, et al. Ciprofloxacin in primary prophylaxis of spontaneous bacterial peritonitis: a randomized, placebo-controlled study. J Hepatol 2008;48:774–779.</w:t>
      </w:r>
    </w:p>
    <w:p w14:paraId="448BA784" w14:textId="77777777" w:rsidR="00A756C8" w:rsidRPr="00A649C2" w:rsidRDefault="00A756C8" w:rsidP="00A756C8">
      <w:pPr>
        <w:pStyle w:val="Bibliographie2"/>
      </w:pPr>
      <w:r w:rsidRPr="00A756C8">
        <w:rPr>
          <w:lang w:val="en-US"/>
        </w:rPr>
        <w:lastRenderedPageBreak/>
        <w:t xml:space="preserve">10. </w:t>
      </w:r>
      <w:r w:rsidRPr="00A756C8">
        <w:rPr>
          <w:lang w:val="en-US"/>
        </w:rPr>
        <w:tab/>
        <w:t xml:space="preserve">Yim HJ, Suh SJ, Jung YK, et al. Daily Norfloxacin vs. Weekly Ciprofloxacin to Prevent Spontaneous Bacterial Peritonitis: A Randomized Controlled Trial. </w:t>
      </w:r>
      <w:r w:rsidRPr="00A649C2">
        <w:t>Am J Gastroenterol 2018;113:1167–1176.</w:t>
      </w:r>
    </w:p>
    <w:p w14:paraId="3CA65329" w14:textId="77777777" w:rsidR="00C75A2F" w:rsidRPr="00A649C2" w:rsidRDefault="00A756C8" w:rsidP="00C75A2F">
      <w:pPr>
        <w:rPr>
          <w:rFonts w:ascii="Arial" w:hAnsi="Arial" w:cs="Arial"/>
        </w:rPr>
      </w:pPr>
      <w:r w:rsidRPr="00A756C8">
        <w:rPr>
          <w:rFonts w:ascii="Arial" w:hAnsi="Arial" w:cs="Arial"/>
        </w:rPr>
        <w:fldChar w:fldCharType="end"/>
      </w:r>
    </w:p>
    <w:p w14:paraId="53D12E6D" w14:textId="77777777" w:rsidR="003033CB" w:rsidRPr="00A649C2" w:rsidRDefault="003033CB" w:rsidP="00C75A2F">
      <w:pPr>
        <w:rPr>
          <w:rFonts w:ascii="Arial" w:hAnsi="Arial" w:cs="Arial"/>
        </w:rPr>
      </w:pPr>
    </w:p>
    <w:p w14:paraId="1AEEDFF8" w14:textId="77777777" w:rsidR="003033CB" w:rsidRPr="00A756C8" w:rsidRDefault="003033CB" w:rsidP="00C75A2F">
      <w:pPr>
        <w:rPr>
          <w:rFonts w:ascii="Arial" w:hAnsi="Arial" w:cs="Arial"/>
          <w:b/>
        </w:rPr>
      </w:pPr>
      <w:r w:rsidRPr="00A756C8">
        <w:rPr>
          <w:rFonts w:ascii="Arial" w:hAnsi="Arial" w:cs="Arial"/>
          <w:b/>
        </w:rPr>
        <w:t>Groupe de travail :</w:t>
      </w:r>
    </w:p>
    <w:p w14:paraId="5912F4CD" w14:textId="77777777" w:rsidR="003033CB" w:rsidRPr="00A756C8" w:rsidRDefault="003033CB" w:rsidP="00C75A2F">
      <w:pPr>
        <w:rPr>
          <w:rFonts w:ascii="Arial" w:hAnsi="Arial" w:cs="Arial"/>
        </w:rPr>
      </w:pPr>
      <w:r w:rsidRPr="00A756C8">
        <w:rPr>
          <w:rFonts w:ascii="Arial" w:hAnsi="Arial" w:cs="Arial"/>
        </w:rPr>
        <w:t>Dr Laure Elkrief (</w:t>
      </w:r>
      <w:r w:rsidR="00880672" w:rsidRPr="00A756C8">
        <w:rPr>
          <w:rFonts w:ascii="Arial" w:hAnsi="Arial" w:cs="Arial"/>
        </w:rPr>
        <w:t>H</w:t>
      </w:r>
      <w:r w:rsidRPr="00A756C8">
        <w:rPr>
          <w:rFonts w:ascii="Arial" w:hAnsi="Arial" w:cs="Arial"/>
        </w:rPr>
        <w:t>épatolog</w:t>
      </w:r>
      <w:r w:rsidR="00880672" w:rsidRPr="00A756C8">
        <w:rPr>
          <w:rFonts w:ascii="Arial" w:hAnsi="Arial" w:cs="Arial"/>
        </w:rPr>
        <w:t>ue</w:t>
      </w:r>
      <w:r w:rsidRPr="00A756C8">
        <w:rPr>
          <w:rFonts w:ascii="Arial" w:hAnsi="Arial" w:cs="Arial"/>
        </w:rPr>
        <w:t>, CHU de Tours)</w:t>
      </w:r>
      <w:r w:rsidR="00B2084E" w:rsidRPr="00A756C8">
        <w:rPr>
          <w:rFonts w:ascii="Arial" w:hAnsi="Arial" w:cs="Arial"/>
        </w:rPr>
        <w:t xml:space="preserve">, </w:t>
      </w:r>
      <w:r w:rsidRPr="00A756C8">
        <w:rPr>
          <w:rFonts w:ascii="Arial" w:hAnsi="Arial" w:cs="Arial"/>
        </w:rPr>
        <w:t>Club Francophone pour l’Etude de l’Hypertension Portale</w:t>
      </w:r>
    </w:p>
    <w:p w14:paraId="47462FCB" w14:textId="77777777" w:rsidR="003033CB" w:rsidRPr="00A756C8" w:rsidRDefault="003033CB" w:rsidP="00C75A2F">
      <w:pPr>
        <w:rPr>
          <w:rFonts w:ascii="Arial" w:hAnsi="Arial" w:cs="Arial"/>
        </w:rPr>
      </w:pPr>
      <w:r w:rsidRPr="00A756C8">
        <w:rPr>
          <w:rFonts w:ascii="Arial" w:hAnsi="Arial" w:cs="Arial"/>
        </w:rPr>
        <w:t>Dr Isabelle Ollivier-</w:t>
      </w:r>
      <w:proofErr w:type="spellStart"/>
      <w:r w:rsidRPr="00A756C8">
        <w:rPr>
          <w:rFonts w:ascii="Arial" w:hAnsi="Arial" w:cs="Arial"/>
        </w:rPr>
        <w:t>Hourmand</w:t>
      </w:r>
      <w:proofErr w:type="spellEnd"/>
      <w:r w:rsidRPr="00A756C8">
        <w:rPr>
          <w:rFonts w:ascii="Arial" w:hAnsi="Arial" w:cs="Arial"/>
        </w:rPr>
        <w:t xml:space="preserve"> (</w:t>
      </w:r>
      <w:r w:rsidR="00880672" w:rsidRPr="00A756C8">
        <w:rPr>
          <w:rFonts w:ascii="Arial" w:hAnsi="Arial" w:cs="Arial"/>
        </w:rPr>
        <w:t>H</w:t>
      </w:r>
      <w:r w:rsidRPr="00A756C8">
        <w:rPr>
          <w:rFonts w:ascii="Arial" w:hAnsi="Arial" w:cs="Arial"/>
        </w:rPr>
        <w:t>épatolog</w:t>
      </w:r>
      <w:r w:rsidR="00880672" w:rsidRPr="00A756C8">
        <w:rPr>
          <w:rFonts w:ascii="Arial" w:hAnsi="Arial" w:cs="Arial"/>
        </w:rPr>
        <w:t>ue</w:t>
      </w:r>
      <w:r w:rsidRPr="00A756C8">
        <w:rPr>
          <w:rFonts w:ascii="Arial" w:hAnsi="Arial" w:cs="Arial"/>
        </w:rPr>
        <w:t>, CHU de Caen), Club Francophone pour l’Etude de l’Hypertension Portale</w:t>
      </w:r>
    </w:p>
    <w:p w14:paraId="6AA457FC" w14:textId="77777777" w:rsidR="003033CB" w:rsidRPr="00A756C8" w:rsidRDefault="003033CB" w:rsidP="00C75A2F">
      <w:pPr>
        <w:rPr>
          <w:rFonts w:ascii="Arial" w:hAnsi="Arial" w:cs="Arial"/>
        </w:rPr>
      </w:pPr>
      <w:r w:rsidRPr="00A756C8">
        <w:rPr>
          <w:rFonts w:ascii="Arial" w:hAnsi="Arial" w:cs="Arial"/>
        </w:rPr>
        <w:t>Pr Renaud Verdon (</w:t>
      </w:r>
      <w:r w:rsidR="00880672" w:rsidRPr="00A756C8">
        <w:rPr>
          <w:rFonts w:ascii="Arial" w:hAnsi="Arial" w:cs="Arial"/>
        </w:rPr>
        <w:t>I</w:t>
      </w:r>
      <w:r w:rsidRPr="00A756C8">
        <w:rPr>
          <w:rFonts w:ascii="Arial" w:hAnsi="Arial" w:cs="Arial"/>
        </w:rPr>
        <w:t>nfectiologue, CHU de Caen), Société de Pathol</w:t>
      </w:r>
      <w:r w:rsidR="00FA07E4" w:rsidRPr="00A756C8">
        <w:rPr>
          <w:rFonts w:ascii="Arial" w:hAnsi="Arial" w:cs="Arial"/>
        </w:rPr>
        <w:t>ogie Infectieuse de Langue Franç</w:t>
      </w:r>
      <w:r w:rsidRPr="00A756C8">
        <w:rPr>
          <w:rFonts w:ascii="Arial" w:hAnsi="Arial" w:cs="Arial"/>
        </w:rPr>
        <w:t>aise</w:t>
      </w:r>
    </w:p>
    <w:p w14:paraId="3DD04533" w14:textId="77777777" w:rsidR="003033CB" w:rsidRPr="00A756C8" w:rsidRDefault="003033CB" w:rsidP="00C75A2F">
      <w:pPr>
        <w:rPr>
          <w:rFonts w:ascii="Arial" w:hAnsi="Arial" w:cs="Arial"/>
        </w:rPr>
      </w:pPr>
      <w:r w:rsidRPr="00A756C8">
        <w:rPr>
          <w:rFonts w:ascii="Arial" w:hAnsi="Arial" w:cs="Arial"/>
        </w:rPr>
        <w:t xml:space="preserve">Dr Véronique </w:t>
      </w:r>
      <w:proofErr w:type="spellStart"/>
      <w:r w:rsidRPr="00A756C8">
        <w:rPr>
          <w:rFonts w:ascii="Arial" w:hAnsi="Arial" w:cs="Arial"/>
        </w:rPr>
        <w:t>Duhalde</w:t>
      </w:r>
      <w:proofErr w:type="spellEnd"/>
      <w:r w:rsidRPr="00A756C8">
        <w:rPr>
          <w:rFonts w:ascii="Arial" w:hAnsi="Arial" w:cs="Arial"/>
        </w:rPr>
        <w:t xml:space="preserve"> (Pharmacienne, CHU de Toulouse)</w:t>
      </w:r>
    </w:p>
    <w:p w14:paraId="79FB8985" w14:textId="77777777" w:rsidR="003033CB" w:rsidRPr="00A756C8" w:rsidRDefault="003033CB" w:rsidP="00C75A2F">
      <w:pPr>
        <w:rPr>
          <w:rFonts w:ascii="Arial" w:hAnsi="Arial" w:cs="Arial"/>
        </w:rPr>
      </w:pPr>
      <w:r w:rsidRPr="00A756C8">
        <w:rPr>
          <w:rFonts w:ascii="Arial" w:hAnsi="Arial" w:cs="Arial"/>
        </w:rPr>
        <w:t>Dr Richard Moreau (Hépatologue, Hôpital Beaujon</w:t>
      </w:r>
      <w:r w:rsidR="00C91B7B" w:rsidRPr="00A756C8">
        <w:rPr>
          <w:rFonts w:ascii="Arial" w:hAnsi="Arial" w:cs="Arial"/>
        </w:rPr>
        <w:t>, Clichy)</w:t>
      </w:r>
    </w:p>
    <w:sectPr w:rsidR="003033CB" w:rsidRPr="00A756C8" w:rsidSect="005072E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10E1B5" w14:textId="77777777" w:rsidR="007B5645" w:rsidRDefault="007B5645" w:rsidP="001F571A">
      <w:r>
        <w:separator/>
      </w:r>
    </w:p>
  </w:endnote>
  <w:endnote w:type="continuationSeparator" w:id="0">
    <w:p w14:paraId="0951EE08" w14:textId="77777777" w:rsidR="007B5645" w:rsidRDefault="007B5645" w:rsidP="001F5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9D1FA8" w14:textId="77777777" w:rsidR="007B5645" w:rsidRDefault="007B5645" w:rsidP="001F571A">
      <w:r>
        <w:separator/>
      </w:r>
    </w:p>
  </w:footnote>
  <w:footnote w:type="continuationSeparator" w:id="0">
    <w:p w14:paraId="2DF4C3C1" w14:textId="77777777" w:rsidR="007B5645" w:rsidRDefault="007B5645" w:rsidP="001F57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C3507B"/>
    <w:multiLevelType w:val="hybridMultilevel"/>
    <w:tmpl w:val="9F400A6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313FF6"/>
    <w:multiLevelType w:val="hybridMultilevel"/>
    <w:tmpl w:val="5514414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Jean Paul Stahl">
    <w15:presenceInfo w15:providerId="None" w15:userId="Jean Paul Stah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5D5D44AF-5F10-48B5-AFAD-D84FA2F26407}"/>
    <w:docVar w:name="dgnword-eventsink" w:val="2538295862560"/>
  </w:docVars>
  <w:rsids>
    <w:rsidRoot w:val="001F571A"/>
    <w:rsid w:val="00004B85"/>
    <w:rsid w:val="00031B39"/>
    <w:rsid w:val="00051463"/>
    <w:rsid w:val="00091E3F"/>
    <w:rsid w:val="000B15E4"/>
    <w:rsid w:val="000B37C5"/>
    <w:rsid w:val="00100CBE"/>
    <w:rsid w:val="001324BE"/>
    <w:rsid w:val="001B502A"/>
    <w:rsid w:val="001F571A"/>
    <w:rsid w:val="00201989"/>
    <w:rsid w:val="00212787"/>
    <w:rsid w:val="00277496"/>
    <w:rsid w:val="003033CB"/>
    <w:rsid w:val="0035564D"/>
    <w:rsid w:val="00384B68"/>
    <w:rsid w:val="00397EAE"/>
    <w:rsid w:val="003D6894"/>
    <w:rsid w:val="00427C78"/>
    <w:rsid w:val="00474CD2"/>
    <w:rsid w:val="004E6D3B"/>
    <w:rsid w:val="005072E7"/>
    <w:rsid w:val="005929C0"/>
    <w:rsid w:val="00592E60"/>
    <w:rsid w:val="005A2ABA"/>
    <w:rsid w:val="005B6D47"/>
    <w:rsid w:val="005D1273"/>
    <w:rsid w:val="006159E6"/>
    <w:rsid w:val="00636D85"/>
    <w:rsid w:val="00674AF5"/>
    <w:rsid w:val="006A731E"/>
    <w:rsid w:val="006E0B76"/>
    <w:rsid w:val="0075134A"/>
    <w:rsid w:val="00782DD8"/>
    <w:rsid w:val="007B5645"/>
    <w:rsid w:val="00880672"/>
    <w:rsid w:val="00893C6A"/>
    <w:rsid w:val="0091347F"/>
    <w:rsid w:val="00997388"/>
    <w:rsid w:val="009C50DB"/>
    <w:rsid w:val="00A649C2"/>
    <w:rsid w:val="00A73C11"/>
    <w:rsid w:val="00A756C8"/>
    <w:rsid w:val="00AA10EF"/>
    <w:rsid w:val="00AB5E84"/>
    <w:rsid w:val="00AF662C"/>
    <w:rsid w:val="00B2084E"/>
    <w:rsid w:val="00B2772C"/>
    <w:rsid w:val="00B44FFC"/>
    <w:rsid w:val="00B5294B"/>
    <w:rsid w:val="00BE6D5E"/>
    <w:rsid w:val="00C27AEF"/>
    <w:rsid w:val="00C43A9D"/>
    <w:rsid w:val="00C46DC1"/>
    <w:rsid w:val="00C75A2F"/>
    <w:rsid w:val="00C91B7B"/>
    <w:rsid w:val="00CB267D"/>
    <w:rsid w:val="00CD3EB8"/>
    <w:rsid w:val="00CD556A"/>
    <w:rsid w:val="00CF0575"/>
    <w:rsid w:val="00D037E0"/>
    <w:rsid w:val="00D1100F"/>
    <w:rsid w:val="00D2007D"/>
    <w:rsid w:val="00D42E53"/>
    <w:rsid w:val="00D714B4"/>
    <w:rsid w:val="00D91AA1"/>
    <w:rsid w:val="00DB1C67"/>
    <w:rsid w:val="00DC76BB"/>
    <w:rsid w:val="00E03565"/>
    <w:rsid w:val="00E26AD8"/>
    <w:rsid w:val="00E86168"/>
    <w:rsid w:val="00EA012C"/>
    <w:rsid w:val="00EA68F7"/>
    <w:rsid w:val="00EC1B0F"/>
    <w:rsid w:val="00EC3F16"/>
    <w:rsid w:val="00EC45D2"/>
    <w:rsid w:val="00EE5E8D"/>
    <w:rsid w:val="00FA07E4"/>
    <w:rsid w:val="00FA572C"/>
    <w:rsid w:val="00FD5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9FE36F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571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571A"/>
  </w:style>
  <w:style w:type="paragraph" w:styleId="Pieddepage">
    <w:name w:val="footer"/>
    <w:basedOn w:val="Normal"/>
    <w:link w:val="PieddepageCar"/>
    <w:uiPriority w:val="99"/>
    <w:unhideWhenUsed/>
    <w:rsid w:val="001F571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F571A"/>
  </w:style>
  <w:style w:type="paragraph" w:styleId="Paragraphedeliste">
    <w:name w:val="List Paragraph"/>
    <w:basedOn w:val="Normal"/>
    <w:uiPriority w:val="34"/>
    <w:qFormat/>
    <w:rsid w:val="0035564D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E03565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03565"/>
  </w:style>
  <w:style w:type="character" w:customStyle="1" w:styleId="CommentaireCar">
    <w:name w:val="Commentaire Car"/>
    <w:basedOn w:val="Policepardfaut"/>
    <w:link w:val="Commentaire"/>
    <w:uiPriority w:val="99"/>
    <w:semiHidden/>
    <w:rsid w:val="00E03565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03565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03565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3565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3565"/>
    <w:rPr>
      <w:rFonts w:ascii="Times New Roman" w:hAnsi="Times New Roman" w:cs="Times New Roman"/>
      <w:sz w:val="18"/>
      <w:szCs w:val="18"/>
    </w:rPr>
  </w:style>
  <w:style w:type="table" w:styleId="Grilledutableau">
    <w:name w:val="Table Grid"/>
    <w:basedOn w:val="TableauNormal"/>
    <w:uiPriority w:val="39"/>
    <w:rsid w:val="00E035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ibliographie1">
    <w:name w:val="Bibliographie1"/>
    <w:basedOn w:val="Normal"/>
    <w:rsid w:val="00C75A2F"/>
    <w:pPr>
      <w:tabs>
        <w:tab w:val="left" w:pos="380"/>
      </w:tabs>
      <w:spacing w:after="240"/>
      <w:ind w:left="384" w:hanging="384"/>
    </w:pPr>
  </w:style>
  <w:style w:type="paragraph" w:styleId="Rvision">
    <w:name w:val="Revision"/>
    <w:hidden/>
    <w:uiPriority w:val="99"/>
    <w:semiHidden/>
    <w:rsid w:val="00782DD8"/>
  </w:style>
  <w:style w:type="paragraph" w:customStyle="1" w:styleId="Bibliographie2">
    <w:name w:val="Bibliographie2"/>
    <w:basedOn w:val="Normal"/>
    <w:rsid w:val="00A756C8"/>
    <w:pPr>
      <w:tabs>
        <w:tab w:val="left" w:pos="500"/>
      </w:tabs>
      <w:spacing w:after="240"/>
      <w:ind w:left="504" w:hanging="504"/>
      <w:jc w:val="both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571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571A"/>
  </w:style>
  <w:style w:type="paragraph" w:styleId="Pieddepage">
    <w:name w:val="footer"/>
    <w:basedOn w:val="Normal"/>
    <w:link w:val="PieddepageCar"/>
    <w:uiPriority w:val="99"/>
    <w:unhideWhenUsed/>
    <w:rsid w:val="001F571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F571A"/>
  </w:style>
  <w:style w:type="paragraph" w:styleId="Paragraphedeliste">
    <w:name w:val="List Paragraph"/>
    <w:basedOn w:val="Normal"/>
    <w:uiPriority w:val="34"/>
    <w:qFormat/>
    <w:rsid w:val="0035564D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E03565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03565"/>
  </w:style>
  <w:style w:type="character" w:customStyle="1" w:styleId="CommentaireCar">
    <w:name w:val="Commentaire Car"/>
    <w:basedOn w:val="Policepardfaut"/>
    <w:link w:val="Commentaire"/>
    <w:uiPriority w:val="99"/>
    <w:semiHidden/>
    <w:rsid w:val="00E03565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03565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03565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3565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3565"/>
    <w:rPr>
      <w:rFonts w:ascii="Times New Roman" w:hAnsi="Times New Roman" w:cs="Times New Roman"/>
      <w:sz w:val="18"/>
      <w:szCs w:val="18"/>
    </w:rPr>
  </w:style>
  <w:style w:type="table" w:styleId="Grilledutableau">
    <w:name w:val="Table Grid"/>
    <w:basedOn w:val="TableauNormal"/>
    <w:uiPriority w:val="39"/>
    <w:rsid w:val="00E035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ibliographie1">
    <w:name w:val="Bibliographie1"/>
    <w:basedOn w:val="Normal"/>
    <w:rsid w:val="00C75A2F"/>
    <w:pPr>
      <w:tabs>
        <w:tab w:val="left" w:pos="380"/>
      </w:tabs>
      <w:spacing w:after="240"/>
      <w:ind w:left="384" w:hanging="384"/>
    </w:pPr>
  </w:style>
  <w:style w:type="paragraph" w:styleId="Rvision">
    <w:name w:val="Revision"/>
    <w:hidden/>
    <w:uiPriority w:val="99"/>
    <w:semiHidden/>
    <w:rsid w:val="00782DD8"/>
  </w:style>
  <w:style w:type="paragraph" w:customStyle="1" w:styleId="Bibliographie2">
    <w:name w:val="Bibliographie2"/>
    <w:basedOn w:val="Normal"/>
    <w:rsid w:val="00A756C8"/>
    <w:pPr>
      <w:tabs>
        <w:tab w:val="left" w:pos="500"/>
      </w:tabs>
      <w:spacing w:after="240"/>
      <w:ind w:left="504" w:hanging="504"/>
      <w:jc w:val="both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5E2228-94A9-48AC-8885-C0BF841BA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4</Pages>
  <Words>1213</Words>
  <Characters>6677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 Elkrief</dc:creator>
  <cp:keywords/>
  <dc:description/>
  <cp:lastModifiedBy>serge alfandari</cp:lastModifiedBy>
  <cp:revision>6</cp:revision>
  <dcterms:created xsi:type="dcterms:W3CDTF">2020-03-06T14:15:00Z</dcterms:created>
  <dcterms:modified xsi:type="dcterms:W3CDTF">2020-03-22T21:38:00Z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zotero-version="5.0.80"&gt;&lt;session id="hRP43qRM"/&gt;&lt;style id="http://www.zotero.org/styles/gastroenterology" hasBibliography="1" bibliographyStyleHasBeenSet="1"/&gt;&lt;prefs&gt;&lt;pref name="fieldType" value="Field"/&gt;&lt;pref name="automaticJournal</vt:lpwstr>
  </property>
  <property fmtid="{D5CDD505-2E9C-101B-9397-08002B2CF9AE}" pid="3" name="ZOTERO_PREF_2">
    <vt:lpwstr>Abbreviations" value="true"/&gt;&lt;/prefs&gt;&lt;/data&gt;</vt:lpwstr>
  </property>
</Properties>
</file>