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384A9" w14:textId="77777777" w:rsidR="008C41EF" w:rsidRDefault="00081981" w:rsidP="00066C1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Evaluation de la pertinence </w:t>
      </w:r>
      <w:r w:rsidR="003F6785">
        <w:rPr>
          <w:rFonts w:ascii="Arial" w:hAnsi="Arial" w:cs="Arial"/>
          <w:sz w:val="20"/>
          <w:szCs w:val="20"/>
        </w:rPr>
        <w:t xml:space="preserve">de la prescription des carbapénèmes </w:t>
      </w:r>
      <w:r w:rsidR="00A0777E">
        <w:rPr>
          <w:rFonts w:ascii="Arial" w:hAnsi="Arial" w:cs="Arial"/>
          <w:sz w:val="20"/>
          <w:szCs w:val="20"/>
        </w:rPr>
        <w:t xml:space="preserve">dans un CHU </w:t>
      </w:r>
    </w:p>
    <w:p w14:paraId="60353F6E" w14:textId="77777777" w:rsidR="00066C10" w:rsidRDefault="00081981" w:rsidP="00066C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J. Perron, A. Baldolli, C. Isnard, G. Saint-Lorant, </w:t>
      </w:r>
      <w:r w:rsidR="00066C10">
        <w:rPr>
          <w:rFonts w:ascii="Arial" w:hAnsi="Arial" w:cs="Arial"/>
          <w:sz w:val="20"/>
          <w:szCs w:val="20"/>
        </w:rPr>
        <w:t>A. de La Blanchardière</w:t>
      </w:r>
    </w:p>
    <w:p w14:paraId="75CF387F" w14:textId="77777777" w:rsidR="00066C10" w:rsidRDefault="00066C10" w:rsidP="00066C1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CHU de Caen</w:t>
      </w:r>
    </w:p>
    <w:p w14:paraId="29B762AA" w14:textId="77777777" w:rsidR="008C41EF" w:rsidRDefault="00066C10" w:rsidP="00066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Introduction</w:t>
      </w:r>
      <w:r>
        <w:rPr>
          <w:rFonts w:ascii="Arial" w:hAnsi="Arial" w:cs="Arial"/>
          <w:sz w:val="20"/>
          <w:szCs w:val="20"/>
        </w:rPr>
        <w:t> :</w:t>
      </w:r>
      <w:r w:rsidR="00081981">
        <w:rPr>
          <w:rFonts w:ascii="Arial" w:hAnsi="Arial" w:cs="Arial"/>
          <w:sz w:val="20"/>
          <w:szCs w:val="20"/>
        </w:rPr>
        <w:t xml:space="preserve"> L’augmentation de la résistance des souches d’</w:t>
      </w:r>
      <w:r w:rsidR="00081981" w:rsidRPr="00081981">
        <w:rPr>
          <w:rFonts w:ascii="Arial" w:hAnsi="Arial" w:cs="Arial"/>
          <w:i/>
          <w:sz w:val="20"/>
          <w:szCs w:val="20"/>
        </w:rPr>
        <w:t xml:space="preserve">Escherichia coli </w:t>
      </w:r>
      <w:r w:rsidR="00081981">
        <w:rPr>
          <w:rFonts w:ascii="Arial" w:hAnsi="Arial" w:cs="Arial"/>
          <w:sz w:val="20"/>
          <w:szCs w:val="20"/>
        </w:rPr>
        <w:t xml:space="preserve">et de </w:t>
      </w:r>
      <w:r w:rsidR="00081981" w:rsidRPr="00081981">
        <w:rPr>
          <w:rFonts w:ascii="Arial" w:hAnsi="Arial" w:cs="Arial"/>
          <w:i/>
          <w:sz w:val="20"/>
          <w:szCs w:val="20"/>
        </w:rPr>
        <w:t>Klebsiella pneumoniae</w:t>
      </w:r>
      <w:r w:rsidR="00081981">
        <w:rPr>
          <w:rFonts w:ascii="Arial" w:hAnsi="Arial" w:cs="Arial"/>
          <w:sz w:val="20"/>
          <w:szCs w:val="20"/>
        </w:rPr>
        <w:t xml:space="preserve"> aux céphalosporines de 3</w:t>
      </w:r>
      <w:r w:rsidR="00081981" w:rsidRPr="00081981">
        <w:rPr>
          <w:rFonts w:ascii="Arial" w:hAnsi="Arial" w:cs="Arial"/>
          <w:sz w:val="20"/>
          <w:szCs w:val="20"/>
          <w:vertAlign w:val="superscript"/>
        </w:rPr>
        <w:t>ème</w:t>
      </w:r>
      <w:r w:rsidR="00081981">
        <w:rPr>
          <w:rFonts w:ascii="Arial" w:hAnsi="Arial" w:cs="Arial"/>
          <w:sz w:val="20"/>
          <w:szCs w:val="20"/>
        </w:rPr>
        <w:t xml:space="preserve"> génération (dominée par les souches sécrétrices de β-lactamases à spectre élargi</w:t>
      </w:r>
      <w:r w:rsidR="00A94D7E">
        <w:rPr>
          <w:rFonts w:ascii="Arial" w:hAnsi="Arial" w:cs="Arial"/>
          <w:sz w:val="20"/>
          <w:szCs w:val="20"/>
        </w:rPr>
        <w:t xml:space="preserve"> BLSE</w:t>
      </w:r>
      <w:r w:rsidR="00081981">
        <w:rPr>
          <w:rFonts w:ascii="Arial" w:hAnsi="Arial" w:cs="Arial"/>
          <w:sz w:val="20"/>
          <w:szCs w:val="20"/>
        </w:rPr>
        <w:t>) ne cesse d’augmenter en Europe, avec une prévalence en Europe en 2018 respectivement de 12.4% et 25.7%.</w:t>
      </w:r>
      <w:r w:rsidR="00E95256">
        <w:rPr>
          <w:rFonts w:ascii="Arial" w:hAnsi="Arial" w:cs="Arial"/>
          <w:sz w:val="20"/>
          <w:szCs w:val="20"/>
        </w:rPr>
        <w:t xml:space="preserve"> Ceci a conduit à un recours croissant aux carbapénèmes (CP)</w:t>
      </w:r>
      <w:r w:rsidR="008C41EF">
        <w:rPr>
          <w:rFonts w:ascii="Arial" w:hAnsi="Arial" w:cs="Arial"/>
          <w:sz w:val="20"/>
          <w:szCs w:val="20"/>
        </w:rPr>
        <w:t xml:space="preserve"> </w:t>
      </w:r>
      <w:r w:rsidR="00E95256">
        <w:rPr>
          <w:rFonts w:ascii="Arial" w:hAnsi="Arial" w:cs="Arial"/>
          <w:sz w:val="20"/>
          <w:szCs w:val="20"/>
        </w:rPr>
        <w:t xml:space="preserve">en France où la consommation est passée </w:t>
      </w:r>
      <w:r w:rsidR="008C41EF">
        <w:rPr>
          <w:rFonts w:ascii="Arial" w:hAnsi="Arial" w:cs="Arial"/>
          <w:sz w:val="20"/>
          <w:szCs w:val="20"/>
        </w:rPr>
        <w:t>de</w:t>
      </w:r>
      <w:r w:rsidR="00E95256">
        <w:rPr>
          <w:rFonts w:ascii="Arial" w:hAnsi="Arial" w:cs="Arial"/>
          <w:sz w:val="20"/>
          <w:szCs w:val="20"/>
        </w:rPr>
        <w:t xml:space="preserve"> 19</w:t>
      </w:r>
      <w:r w:rsidR="008C41EF">
        <w:rPr>
          <w:rFonts w:ascii="Arial" w:hAnsi="Arial" w:cs="Arial"/>
          <w:sz w:val="20"/>
          <w:szCs w:val="20"/>
        </w:rPr>
        <w:t xml:space="preserve">97 à </w:t>
      </w:r>
      <w:r w:rsidR="00E95256">
        <w:rPr>
          <w:rFonts w:ascii="Arial" w:hAnsi="Arial" w:cs="Arial"/>
          <w:sz w:val="20"/>
          <w:szCs w:val="20"/>
        </w:rPr>
        <w:t>2016 de 0.013</w:t>
      </w:r>
      <w:r w:rsidR="008C41EF">
        <w:rPr>
          <w:rFonts w:ascii="Arial" w:hAnsi="Arial" w:cs="Arial"/>
          <w:sz w:val="20"/>
          <w:szCs w:val="20"/>
        </w:rPr>
        <w:t xml:space="preserve"> </w:t>
      </w:r>
      <w:r w:rsidR="00E95256">
        <w:rPr>
          <w:rFonts w:ascii="Arial" w:hAnsi="Arial" w:cs="Arial"/>
          <w:sz w:val="20"/>
          <w:szCs w:val="20"/>
        </w:rPr>
        <w:t>à 0.033 DDJ (exposant à un</w:t>
      </w:r>
      <w:r w:rsidR="008C41EF">
        <w:rPr>
          <w:rFonts w:ascii="Arial" w:hAnsi="Arial" w:cs="Arial"/>
          <w:sz w:val="20"/>
          <w:szCs w:val="20"/>
        </w:rPr>
        <w:t>e</w:t>
      </w:r>
      <w:r w:rsidR="00E95256">
        <w:rPr>
          <w:rFonts w:ascii="Arial" w:hAnsi="Arial" w:cs="Arial"/>
          <w:sz w:val="20"/>
          <w:szCs w:val="20"/>
        </w:rPr>
        <w:t xml:space="preserve"> résistance aux CP</w:t>
      </w:r>
      <w:r w:rsidR="008C41EF">
        <w:rPr>
          <w:rFonts w:ascii="Arial" w:hAnsi="Arial" w:cs="Arial"/>
          <w:sz w:val="20"/>
          <w:szCs w:val="20"/>
        </w:rPr>
        <w:t xml:space="preserve"> </w:t>
      </w:r>
      <w:r w:rsidR="00E95256">
        <w:rPr>
          <w:rFonts w:ascii="Arial" w:hAnsi="Arial" w:cs="Arial"/>
          <w:sz w:val="20"/>
          <w:szCs w:val="20"/>
        </w:rPr>
        <w:t>estimé</w:t>
      </w:r>
      <w:r w:rsidR="008C41EF">
        <w:rPr>
          <w:rFonts w:ascii="Arial" w:hAnsi="Arial" w:cs="Arial"/>
          <w:sz w:val="20"/>
          <w:szCs w:val="20"/>
        </w:rPr>
        <w:t>e</w:t>
      </w:r>
      <w:r w:rsidR="00E95256">
        <w:rPr>
          <w:rFonts w:ascii="Arial" w:hAnsi="Arial" w:cs="Arial"/>
          <w:sz w:val="20"/>
          <w:szCs w:val="20"/>
        </w:rPr>
        <w:t xml:space="preserve"> en France en 2012 à 0.63% des entérobactéries issues d’un prélèvement clinique)</w:t>
      </w:r>
      <w:r w:rsidR="003F6785">
        <w:rPr>
          <w:rFonts w:ascii="Arial" w:hAnsi="Arial" w:cs="Arial"/>
          <w:sz w:val="20"/>
          <w:szCs w:val="20"/>
        </w:rPr>
        <w:t>,</w:t>
      </w:r>
      <w:r w:rsidR="00E95256">
        <w:rPr>
          <w:rFonts w:ascii="Arial" w:hAnsi="Arial" w:cs="Arial"/>
          <w:sz w:val="20"/>
          <w:szCs w:val="20"/>
        </w:rPr>
        <w:t xml:space="preserve"> et dans notre CHU où la consommation de CP a doublé de 2006 à 2016.</w:t>
      </w:r>
      <w:r w:rsidR="008C41EF">
        <w:rPr>
          <w:rFonts w:ascii="Arial" w:hAnsi="Arial" w:cs="Arial"/>
          <w:sz w:val="20"/>
          <w:szCs w:val="20"/>
        </w:rPr>
        <w:t xml:space="preserve"> </w:t>
      </w:r>
      <w:r w:rsidR="003F6785">
        <w:rPr>
          <w:rFonts w:ascii="Arial" w:hAnsi="Arial" w:cs="Arial"/>
          <w:sz w:val="20"/>
          <w:szCs w:val="20"/>
        </w:rPr>
        <w:t>La promotion du bon usage des CP appara</w:t>
      </w:r>
      <w:r w:rsidR="008C41EF">
        <w:rPr>
          <w:rFonts w:ascii="Arial" w:hAnsi="Arial" w:cs="Arial"/>
          <w:sz w:val="20"/>
          <w:szCs w:val="20"/>
        </w:rPr>
        <w:t>it déterminante pour limiter le risque d’</w:t>
      </w:r>
      <w:r w:rsidR="003F6785">
        <w:rPr>
          <w:rFonts w:ascii="Arial" w:hAnsi="Arial" w:cs="Arial"/>
          <w:sz w:val="20"/>
          <w:szCs w:val="20"/>
        </w:rPr>
        <w:t>impasse</w:t>
      </w:r>
      <w:r w:rsidR="008C41EF">
        <w:rPr>
          <w:rFonts w:ascii="Arial" w:hAnsi="Arial" w:cs="Arial"/>
          <w:sz w:val="20"/>
          <w:szCs w:val="20"/>
        </w:rPr>
        <w:t xml:space="preserve"> </w:t>
      </w:r>
      <w:r w:rsidR="003F6785">
        <w:rPr>
          <w:rFonts w:ascii="Arial" w:hAnsi="Arial" w:cs="Arial"/>
          <w:sz w:val="20"/>
          <w:szCs w:val="20"/>
        </w:rPr>
        <w:t>thérapeutique</w:t>
      </w:r>
      <w:r w:rsidR="008C41EF">
        <w:rPr>
          <w:rFonts w:ascii="Arial" w:hAnsi="Arial" w:cs="Arial"/>
          <w:sz w:val="20"/>
          <w:szCs w:val="20"/>
        </w:rPr>
        <w:t>.</w:t>
      </w:r>
    </w:p>
    <w:p w14:paraId="7B50D76A" w14:textId="77777777" w:rsidR="002E0800" w:rsidRDefault="003F6785" w:rsidP="00066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66C10">
        <w:rPr>
          <w:rFonts w:ascii="Arial" w:hAnsi="Arial" w:cs="Arial"/>
          <w:sz w:val="20"/>
          <w:szCs w:val="20"/>
          <w:u w:val="single"/>
        </w:rPr>
        <w:t>Matériels et Méthodes</w:t>
      </w:r>
      <w:r w:rsidR="00066C10">
        <w:rPr>
          <w:rFonts w:ascii="Arial" w:hAnsi="Arial" w:cs="Arial"/>
          <w:sz w:val="20"/>
          <w:szCs w:val="20"/>
        </w:rPr>
        <w:t xml:space="preserve"> : Etude </w:t>
      </w:r>
      <w:r w:rsidR="00BB2150">
        <w:rPr>
          <w:rFonts w:ascii="Arial" w:hAnsi="Arial" w:cs="Arial"/>
          <w:sz w:val="20"/>
          <w:szCs w:val="20"/>
        </w:rPr>
        <w:t xml:space="preserve">prospective monocentrique </w:t>
      </w:r>
      <w:r w:rsidR="00066C10">
        <w:rPr>
          <w:rFonts w:ascii="Arial" w:hAnsi="Arial" w:cs="Arial"/>
          <w:sz w:val="20"/>
          <w:szCs w:val="20"/>
        </w:rPr>
        <w:t>mené</w:t>
      </w:r>
      <w:r w:rsidR="00BB2150">
        <w:rPr>
          <w:rFonts w:ascii="Arial" w:hAnsi="Arial" w:cs="Arial"/>
          <w:sz w:val="20"/>
          <w:szCs w:val="20"/>
        </w:rPr>
        <w:t>e dans un CHU de 1407 lits du 1</w:t>
      </w:r>
      <w:r w:rsidR="00BB2150" w:rsidRPr="00BB2150">
        <w:rPr>
          <w:rFonts w:ascii="Arial" w:hAnsi="Arial" w:cs="Arial"/>
          <w:sz w:val="20"/>
          <w:szCs w:val="20"/>
          <w:vertAlign w:val="superscript"/>
        </w:rPr>
        <w:t>er</w:t>
      </w:r>
      <w:r w:rsidR="00BB2150">
        <w:rPr>
          <w:rFonts w:ascii="Arial" w:hAnsi="Arial" w:cs="Arial"/>
          <w:sz w:val="20"/>
          <w:szCs w:val="20"/>
        </w:rPr>
        <w:t xml:space="preserve"> mars au 31 juillet 2017 chez </w:t>
      </w:r>
      <w:r w:rsidR="00066C10">
        <w:rPr>
          <w:rFonts w:ascii="Arial" w:hAnsi="Arial" w:cs="Arial"/>
          <w:sz w:val="20"/>
          <w:szCs w:val="20"/>
        </w:rPr>
        <w:t xml:space="preserve">les patients adultes </w:t>
      </w:r>
      <w:r w:rsidR="00BB2150">
        <w:rPr>
          <w:rFonts w:ascii="Arial" w:hAnsi="Arial" w:cs="Arial"/>
          <w:sz w:val="20"/>
          <w:szCs w:val="20"/>
        </w:rPr>
        <w:t xml:space="preserve">hospitalisés </w:t>
      </w:r>
      <w:r w:rsidR="00A94D7E">
        <w:rPr>
          <w:rFonts w:ascii="Arial" w:hAnsi="Arial" w:cs="Arial"/>
          <w:sz w:val="20"/>
          <w:szCs w:val="20"/>
        </w:rPr>
        <w:t xml:space="preserve">dans les services les plus prescripteurs de CP </w:t>
      </w:r>
      <w:r>
        <w:rPr>
          <w:rFonts w:ascii="Arial" w:hAnsi="Arial" w:cs="Arial"/>
          <w:sz w:val="20"/>
          <w:szCs w:val="20"/>
        </w:rPr>
        <w:t>(</w:t>
      </w:r>
      <w:r w:rsidR="00A94D7E">
        <w:rPr>
          <w:rFonts w:ascii="Arial" w:hAnsi="Arial" w:cs="Arial"/>
          <w:sz w:val="20"/>
          <w:szCs w:val="20"/>
        </w:rPr>
        <w:t xml:space="preserve">chirurgie digestive, </w:t>
      </w:r>
      <w:r>
        <w:rPr>
          <w:rFonts w:ascii="Arial" w:hAnsi="Arial" w:cs="Arial"/>
          <w:sz w:val="20"/>
          <w:szCs w:val="20"/>
        </w:rPr>
        <w:t>orthopédi</w:t>
      </w:r>
      <w:r w:rsidR="00A94D7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urologie, </w:t>
      </w:r>
      <w:r w:rsidR="00A94D7E">
        <w:rPr>
          <w:rFonts w:ascii="Arial" w:hAnsi="Arial" w:cs="Arial"/>
          <w:sz w:val="20"/>
          <w:szCs w:val="20"/>
        </w:rPr>
        <w:t>neurochirurgie, infectiologie, néphrologie et pneumologie) à l’exception des patients hospitalisés en hématologie ou présentant une mucoviscidose. L’évaluation était réalisée par l’équipe transversale d’infectiologie</w:t>
      </w:r>
      <w:r w:rsidR="00EC41C8">
        <w:rPr>
          <w:rFonts w:ascii="Arial" w:hAnsi="Arial" w:cs="Arial"/>
          <w:sz w:val="20"/>
          <w:szCs w:val="20"/>
        </w:rPr>
        <w:t xml:space="preserve"> (ETI</w:t>
      </w:r>
      <w:r w:rsidR="00A0777E">
        <w:rPr>
          <w:rFonts w:ascii="Arial" w:hAnsi="Arial" w:cs="Arial"/>
          <w:sz w:val="20"/>
          <w:szCs w:val="20"/>
        </w:rPr>
        <w:t>) dans les 3 jours</w:t>
      </w:r>
      <w:r w:rsidR="002E0800">
        <w:rPr>
          <w:rFonts w:ascii="Arial" w:hAnsi="Arial" w:cs="Arial"/>
          <w:sz w:val="20"/>
          <w:szCs w:val="20"/>
        </w:rPr>
        <w:t xml:space="preserve">, prévenue par la </w:t>
      </w:r>
      <w:r w:rsidR="00A94D7E">
        <w:rPr>
          <w:rFonts w:ascii="Arial" w:hAnsi="Arial" w:cs="Arial"/>
          <w:sz w:val="20"/>
          <w:szCs w:val="20"/>
        </w:rPr>
        <w:t>pharmacie</w:t>
      </w:r>
      <w:r w:rsidR="002E0800">
        <w:rPr>
          <w:rFonts w:ascii="Arial" w:hAnsi="Arial" w:cs="Arial"/>
          <w:sz w:val="20"/>
          <w:szCs w:val="20"/>
        </w:rPr>
        <w:t xml:space="preserve"> hospitalière</w:t>
      </w:r>
      <w:r>
        <w:rPr>
          <w:rFonts w:ascii="Arial" w:hAnsi="Arial" w:cs="Arial"/>
          <w:sz w:val="20"/>
          <w:szCs w:val="20"/>
        </w:rPr>
        <w:t xml:space="preserve"> de chaque prescription de CP</w:t>
      </w:r>
      <w:r w:rsidR="00A94D7E">
        <w:rPr>
          <w:rFonts w:ascii="Arial" w:hAnsi="Arial" w:cs="Arial"/>
          <w:sz w:val="20"/>
          <w:szCs w:val="20"/>
        </w:rPr>
        <w:t>. La prescription de CP était considérée collégialement</w:t>
      </w:r>
      <w:r>
        <w:rPr>
          <w:rFonts w:ascii="Arial" w:hAnsi="Arial" w:cs="Arial"/>
          <w:sz w:val="20"/>
          <w:szCs w:val="20"/>
        </w:rPr>
        <w:t xml:space="preserve"> (infectiologue, microbiologiste et pharmacien)</w:t>
      </w:r>
      <w:r w:rsidR="00A94D7E">
        <w:rPr>
          <w:rFonts w:ascii="Arial" w:hAnsi="Arial" w:cs="Arial"/>
          <w:sz w:val="20"/>
          <w:szCs w:val="20"/>
        </w:rPr>
        <w:t xml:space="preserve"> comme conforme  en cas de prescription probabiliste s’il existait à la fois un critère de gravité et un facteur de risque de BLSE</w:t>
      </w:r>
      <w:r>
        <w:rPr>
          <w:rFonts w:ascii="Arial" w:hAnsi="Arial" w:cs="Arial"/>
          <w:sz w:val="20"/>
          <w:szCs w:val="20"/>
        </w:rPr>
        <w:t>,</w:t>
      </w:r>
      <w:r w:rsidR="00A94D7E">
        <w:rPr>
          <w:rFonts w:ascii="Arial" w:hAnsi="Arial" w:cs="Arial"/>
          <w:sz w:val="20"/>
          <w:szCs w:val="20"/>
        </w:rPr>
        <w:t xml:space="preserve"> et en cas d’infection documentée s’il existait à la fois une infection d’organe ou un sepsis sévère/choc septique et une EBLSE ou un </w:t>
      </w:r>
      <w:r w:rsidR="00A94D7E" w:rsidRPr="00A94D7E">
        <w:rPr>
          <w:rFonts w:ascii="Arial" w:hAnsi="Arial" w:cs="Arial"/>
          <w:i/>
          <w:sz w:val="20"/>
          <w:szCs w:val="20"/>
        </w:rPr>
        <w:t>Pseudomonas aeruginosa</w:t>
      </w:r>
      <w:r w:rsidR="00A94D7E">
        <w:rPr>
          <w:rFonts w:ascii="Arial" w:hAnsi="Arial" w:cs="Arial"/>
          <w:sz w:val="20"/>
          <w:szCs w:val="20"/>
        </w:rPr>
        <w:t xml:space="preserve"> CAZ-R ou </w:t>
      </w:r>
      <w:r w:rsidR="00A94D7E" w:rsidRPr="00A94D7E">
        <w:rPr>
          <w:rFonts w:ascii="Arial" w:hAnsi="Arial" w:cs="Arial"/>
          <w:i/>
          <w:sz w:val="20"/>
          <w:szCs w:val="20"/>
        </w:rPr>
        <w:t>Acinetobacter baumanii</w:t>
      </w:r>
      <w:r w:rsidR="00BB2150">
        <w:rPr>
          <w:rFonts w:ascii="Arial" w:hAnsi="Arial" w:cs="Arial"/>
          <w:sz w:val="20"/>
          <w:szCs w:val="20"/>
        </w:rPr>
        <w:t xml:space="preserve">. </w:t>
      </w:r>
    </w:p>
    <w:p w14:paraId="6764FE88" w14:textId="77777777" w:rsidR="00EC41C8" w:rsidRDefault="00066C10" w:rsidP="00066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Résultats</w:t>
      </w:r>
      <w:r>
        <w:rPr>
          <w:rFonts w:ascii="Arial" w:hAnsi="Arial" w:cs="Arial"/>
          <w:sz w:val="20"/>
          <w:szCs w:val="20"/>
        </w:rPr>
        <w:t xml:space="preserve"> : </w:t>
      </w:r>
      <w:r w:rsidR="002E0800">
        <w:rPr>
          <w:rFonts w:ascii="Arial" w:hAnsi="Arial" w:cs="Arial"/>
          <w:sz w:val="20"/>
          <w:szCs w:val="20"/>
        </w:rPr>
        <w:t>104 initiations de traitement par CP chez 94 patients ont été incluses. Il s’</w:t>
      </w:r>
      <w:r w:rsidR="00EC41C8">
        <w:rPr>
          <w:rFonts w:ascii="Arial" w:hAnsi="Arial" w:cs="Arial"/>
          <w:sz w:val="20"/>
          <w:szCs w:val="20"/>
        </w:rPr>
        <w:t>agissait de prescriptions ma</w:t>
      </w:r>
      <w:r w:rsidR="002E0800">
        <w:rPr>
          <w:rFonts w:ascii="Arial" w:hAnsi="Arial" w:cs="Arial"/>
          <w:sz w:val="20"/>
          <w:szCs w:val="20"/>
        </w:rPr>
        <w:t>jor</w:t>
      </w:r>
      <w:r w:rsidR="00A0777E">
        <w:rPr>
          <w:rFonts w:ascii="Arial" w:hAnsi="Arial" w:cs="Arial"/>
          <w:sz w:val="20"/>
          <w:szCs w:val="20"/>
        </w:rPr>
        <w:t xml:space="preserve">itairement probabilistes (64%), </w:t>
      </w:r>
      <w:r w:rsidR="002E0800">
        <w:rPr>
          <w:rFonts w:ascii="Arial" w:hAnsi="Arial" w:cs="Arial"/>
          <w:sz w:val="20"/>
          <w:szCs w:val="20"/>
        </w:rPr>
        <w:t>relatives à des infections pulmonaires (35%), urinaires (23%) et intra-abdominales (17%)</w:t>
      </w:r>
      <w:r w:rsidR="00EC41C8">
        <w:rPr>
          <w:rFonts w:ascii="Arial" w:hAnsi="Arial" w:cs="Arial"/>
          <w:sz w:val="20"/>
          <w:szCs w:val="20"/>
        </w:rPr>
        <w:t xml:space="preserve">. Elles </w:t>
      </w:r>
      <w:r w:rsidR="003F6785">
        <w:rPr>
          <w:rFonts w:ascii="Arial" w:hAnsi="Arial" w:cs="Arial"/>
          <w:sz w:val="20"/>
          <w:szCs w:val="20"/>
        </w:rPr>
        <w:t xml:space="preserve">étaient </w:t>
      </w:r>
      <w:r w:rsidR="00EC41C8">
        <w:rPr>
          <w:rFonts w:ascii="Arial" w:hAnsi="Arial" w:cs="Arial"/>
          <w:sz w:val="20"/>
          <w:szCs w:val="20"/>
        </w:rPr>
        <w:t xml:space="preserve">réalisées le plus souvent en réanimation (50%), par </w:t>
      </w:r>
      <w:r w:rsidR="003F6785">
        <w:rPr>
          <w:rFonts w:ascii="Arial" w:hAnsi="Arial" w:cs="Arial"/>
          <w:sz w:val="20"/>
          <w:szCs w:val="20"/>
        </w:rPr>
        <w:t xml:space="preserve">un interne (66%), </w:t>
      </w:r>
      <w:r w:rsidR="00A0777E">
        <w:rPr>
          <w:rFonts w:ascii="Arial" w:hAnsi="Arial" w:cs="Arial"/>
          <w:sz w:val="20"/>
          <w:szCs w:val="20"/>
        </w:rPr>
        <w:t xml:space="preserve">en contexte de garde (41%), </w:t>
      </w:r>
      <w:r w:rsidR="003F6785">
        <w:rPr>
          <w:rFonts w:ascii="Arial" w:hAnsi="Arial" w:cs="Arial"/>
          <w:sz w:val="20"/>
          <w:szCs w:val="20"/>
        </w:rPr>
        <w:t>avec</w:t>
      </w:r>
      <w:r w:rsidR="00EC41C8">
        <w:rPr>
          <w:rFonts w:ascii="Arial" w:hAnsi="Arial" w:cs="Arial"/>
          <w:sz w:val="20"/>
          <w:szCs w:val="20"/>
        </w:rPr>
        <w:t xml:space="preserve"> l’</w:t>
      </w:r>
      <w:r w:rsidR="003F6785">
        <w:rPr>
          <w:rFonts w:ascii="Arial" w:hAnsi="Arial" w:cs="Arial"/>
          <w:sz w:val="20"/>
          <w:szCs w:val="20"/>
        </w:rPr>
        <w:t>imipénème (</w:t>
      </w:r>
      <w:r w:rsidR="00EC41C8">
        <w:rPr>
          <w:rFonts w:ascii="Arial" w:hAnsi="Arial" w:cs="Arial"/>
          <w:sz w:val="20"/>
          <w:szCs w:val="20"/>
        </w:rPr>
        <w:t>74%)</w:t>
      </w:r>
      <w:r w:rsidR="00A0777E">
        <w:rPr>
          <w:rFonts w:ascii="Arial" w:hAnsi="Arial" w:cs="Arial"/>
          <w:sz w:val="20"/>
          <w:szCs w:val="20"/>
        </w:rPr>
        <w:t xml:space="preserve"> sauf en cas d’infection neuroméningée où le méropénème était toujours utilisé</w:t>
      </w:r>
      <w:r w:rsidR="00EC41C8">
        <w:rPr>
          <w:rFonts w:ascii="Arial" w:hAnsi="Arial" w:cs="Arial"/>
          <w:sz w:val="20"/>
          <w:szCs w:val="20"/>
        </w:rPr>
        <w:t xml:space="preserve">, </w:t>
      </w:r>
      <w:r w:rsidR="003F6785">
        <w:rPr>
          <w:rFonts w:ascii="Arial" w:hAnsi="Arial" w:cs="Arial"/>
          <w:sz w:val="20"/>
          <w:szCs w:val="20"/>
        </w:rPr>
        <w:t xml:space="preserve">et </w:t>
      </w:r>
      <w:r w:rsidR="00EC41C8">
        <w:rPr>
          <w:rFonts w:ascii="Arial" w:hAnsi="Arial" w:cs="Arial"/>
          <w:sz w:val="20"/>
          <w:szCs w:val="20"/>
        </w:rPr>
        <w:t xml:space="preserve">avec </w:t>
      </w:r>
      <w:r w:rsidR="003F6785">
        <w:rPr>
          <w:rFonts w:ascii="Arial" w:hAnsi="Arial" w:cs="Arial"/>
          <w:sz w:val="20"/>
          <w:szCs w:val="20"/>
        </w:rPr>
        <w:t xml:space="preserve">une </w:t>
      </w:r>
      <w:r w:rsidR="00EC41C8">
        <w:rPr>
          <w:rFonts w:ascii="Arial" w:hAnsi="Arial" w:cs="Arial"/>
          <w:sz w:val="20"/>
          <w:szCs w:val="20"/>
        </w:rPr>
        <w:t>réévaluation à 3 jours objectivable</w:t>
      </w:r>
      <w:r w:rsidR="003F6785">
        <w:rPr>
          <w:rFonts w:ascii="Arial" w:hAnsi="Arial" w:cs="Arial"/>
          <w:sz w:val="20"/>
          <w:szCs w:val="20"/>
        </w:rPr>
        <w:t xml:space="preserve"> (80%)</w:t>
      </w:r>
      <w:r w:rsidR="00EC41C8">
        <w:rPr>
          <w:rFonts w:ascii="Arial" w:hAnsi="Arial" w:cs="Arial"/>
          <w:sz w:val="20"/>
          <w:szCs w:val="20"/>
        </w:rPr>
        <w:t>. Le taux élevé de conformité au référentiel</w:t>
      </w:r>
      <w:r w:rsidR="00A0777E">
        <w:rPr>
          <w:rFonts w:ascii="Arial" w:hAnsi="Arial" w:cs="Arial"/>
          <w:sz w:val="20"/>
          <w:szCs w:val="20"/>
        </w:rPr>
        <w:t xml:space="preserve"> (82</w:t>
      </w:r>
      <w:r w:rsidR="00EC41C8">
        <w:rPr>
          <w:rFonts w:ascii="Arial" w:hAnsi="Arial" w:cs="Arial"/>
          <w:sz w:val="20"/>
          <w:szCs w:val="20"/>
        </w:rPr>
        <w:t>%) était significativement meilleur pour les infections probabilistes que pour les documentées (91% vs 65%, p &lt; 0.001) et dans les services de réanimation par rapport à ceux de médecine (87% vs 61%, p = 0.037)</w:t>
      </w:r>
      <w:r w:rsidR="003F6785">
        <w:rPr>
          <w:rFonts w:ascii="Arial" w:hAnsi="Arial" w:cs="Arial"/>
          <w:sz w:val="20"/>
          <w:szCs w:val="20"/>
        </w:rPr>
        <w:t xml:space="preserve">. Il </w:t>
      </w:r>
      <w:r w:rsidR="00EC41C8">
        <w:rPr>
          <w:rFonts w:ascii="Arial" w:hAnsi="Arial" w:cs="Arial"/>
          <w:sz w:val="20"/>
          <w:szCs w:val="20"/>
        </w:rPr>
        <w:t>n’a pas évolué au cours de l’étude, comme l’adhésion aux avis  de l’ETI (68%).</w:t>
      </w:r>
    </w:p>
    <w:p w14:paraId="28859F85" w14:textId="77777777" w:rsidR="00066C10" w:rsidRDefault="00066C10" w:rsidP="00066C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Conclusion</w:t>
      </w:r>
      <w:r>
        <w:rPr>
          <w:rFonts w:ascii="Arial" w:hAnsi="Arial" w:cs="Arial"/>
          <w:sz w:val="20"/>
          <w:szCs w:val="20"/>
        </w:rPr>
        <w:t xml:space="preserve"> : </w:t>
      </w:r>
      <w:r w:rsidR="00EC41C8">
        <w:rPr>
          <w:rFonts w:ascii="Arial" w:hAnsi="Arial" w:cs="Arial"/>
          <w:sz w:val="20"/>
          <w:szCs w:val="20"/>
        </w:rPr>
        <w:t>Le taux de conformité des prescriptions de CP</w:t>
      </w:r>
      <w:r w:rsidR="008C41EF">
        <w:rPr>
          <w:rFonts w:ascii="Arial" w:hAnsi="Arial" w:cs="Arial"/>
          <w:sz w:val="20"/>
          <w:szCs w:val="20"/>
        </w:rPr>
        <w:t>,</w:t>
      </w:r>
      <w:r w:rsidR="00EC41C8">
        <w:rPr>
          <w:rFonts w:ascii="Arial" w:hAnsi="Arial" w:cs="Arial"/>
          <w:sz w:val="20"/>
          <w:szCs w:val="20"/>
        </w:rPr>
        <w:t xml:space="preserve"> plus élevé </w:t>
      </w:r>
      <w:r w:rsidR="00A0777E">
        <w:rPr>
          <w:rFonts w:ascii="Arial" w:hAnsi="Arial" w:cs="Arial"/>
          <w:sz w:val="20"/>
          <w:szCs w:val="20"/>
        </w:rPr>
        <w:t xml:space="preserve">que dans les </w:t>
      </w:r>
      <w:r w:rsidR="008C41EF">
        <w:rPr>
          <w:rFonts w:ascii="Arial" w:hAnsi="Arial" w:cs="Arial"/>
          <w:sz w:val="20"/>
          <w:szCs w:val="20"/>
        </w:rPr>
        <w:t xml:space="preserve">3 </w:t>
      </w:r>
      <w:r w:rsidR="00A0777E">
        <w:rPr>
          <w:rFonts w:ascii="Arial" w:hAnsi="Arial" w:cs="Arial"/>
          <w:sz w:val="20"/>
          <w:szCs w:val="20"/>
        </w:rPr>
        <w:t xml:space="preserve">autres études françaises </w:t>
      </w:r>
      <w:r w:rsidR="008C41EF">
        <w:rPr>
          <w:rFonts w:ascii="Arial" w:hAnsi="Arial" w:cs="Arial"/>
          <w:sz w:val="20"/>
          <w:szCs w:val="20"/>
        </w:rPr>
        <w:t xml:space="preserve">qui l’ont évalué </w:t>
      </w:r>
      <w:r w:rsidR="00A0777E">
        <w:rPr>
          <w:rFonts w:ascii="Arial" w:hAnsi="Arial" w:cs="Arial"/>
          <w:sz w:val="20"/>
          <w:szCs w:val="20"/>
        </w:rPr>
        <w:t>(72-76%)</w:t>
      </w:r>
      <w:r w:rsidR="008C41EF">
        <w:rPr>
          <w:rFonts w:ascii="Arial" w:hAnsi="Arial" w:cs="Arial"/>
          <w:sz w:val="20"/>
          <w:szCs w:val="20"/>
        </w:rPr>
        <w:t>,</w:t>
      </w:r>
      <w:r w:rsidR="00A0777E">
        <w:rPr>
          <w:rFonts w:ascii="Arial" w:hAnsi="Arial" w:cs="Arial"/>
          <w:sz w:val="20"/>
          <w:szCs w:val="20"/>
        </w:rPr>
        <w:t xml:space="preserve"> </w:t>
      </w:r>
      <w:r w:rsidR="00EC41C8">
        <w:rPr>
          <w:rFonts w:ascii="Arial" w:hAnsi="Arial" w:cs="Arial"/>
          <w:sz w:val="20"/>
          <w:szCs w:val="20"/>
        </w:rPr>
        <w:t>et les inclusions</w:t>
      </w:r>
      <w:r w:rsidR="008C41EF">
        <w:rPr>
          <w:rFonts w:ascii="Arial" w:hAnsi="Arial" w:cs="Arial"/>
          <w:sz w:val="20"/>
          <w:szCs w:val="20"/>
        </w:rPr>
        <w:t>,</w:t>
      </w:r>
      <w:r w:rsidR="00EC41C8">
        <w:rPr>
          <w:rFonts w:ascii="Arial" w:hAnsi="Arial" w:cs="Arial"/>
          <w:sz w:val="20"/>
          <w:szCs w:val="20"/>
        </w:rPr>
        <w:t xml:space="preserve"> moins nombreuses qu’attendu</w:t>
      </w:r>
      <w:r w:rsidR="008C41EF">
        <w:rPr>
          <w:rFonts w:ascii="Arial" w:hAnsi="Arial" w:cs="Arial"/>
          <w:sz w:val="20"/>
          <w:szCs w:val="20"/>
        </w:rPr>
        <w:t>e</w:t>
      </w:r>
      <w:r w:rsidR="00EC41C8">
        <w:rPr>
          <w:rFonts w:ascii="Arial" w:hAnsi="Arial" w:cs="Arial"/>
          <w:sz w:val="20"/>
          <w:szCs w:val="20"/>
        </w:rPr>
        <w:t>s</w:t>
      </w:r>
      <w:r w:rsidR="008C41EF">
        <w:rPr>
          <w:rFonts w:ascii="Arial" w:hAnsi="Arial" w:cs="Arial"/>
          <w:sz w:val="20"/>
          <w:szCs w:val="20"/>
        </w:rPr>
        <w:t>,</w:t>
      </w:r>
      <w:r w:rsidR="00EC41C8">
        <w:rPr>
          <w:rFonts w:ascii="Arial" w:hAnsi="Arial" w:cs="Arial"/>
          <w:sz w:val="20"/>
          <w:szCs w:val="20"/>
        </w:rPr>
        <w:t xml:space="preserve"> n’ont pas permis de montrer un impact de l’ETI. La diffusion d’un référentiel relatif au bon usage des CP et leur contrôle pérenne restent néanmoins nécessaires</w:t>
      </w:r>
      <w:r w:rsidR="003F6785">
        <w:rPr>
          <w:rFonts w:ascii="Arial" w:hAnsi="Arial" w:cs="Arial"/>
          <w:sz w:val="20"/>
          <w:szCs w:val="20"/>
        </w:rPr>
        <w:t xml:space="preserve"> pour limiter l</w:t>
      </w:r>
      <w:r w:rsidR="008C41EF">
        <w:rPr>
          <w:rFonts w:ascii="Arial" w:hAnsi="Arial" w:cs="Arial"/>
          <w:sz w:val="20"/>
          <w:szCs w:val="20"/>
        </w:rPr>
        <w:t>eur</w:t>
      </w:r>
      <w:r w:rsidR="003F6785">
        <w:rPr>
          <w:rFonts w:ascii="Arial" w:hAnsi="Arial" w:cs="Arial"/>
          <w:sz w:val="20"/>
          <w:szCs w:val="20"/>
        </w:rPr>
        <w:t>s</w:t>
      </w:r>
      <w:r w:rsidR="00EC41C8">
        <w:rPr>
          <w:rFonts w:ascii="Arial" w:hAnsi="Arial" w:cs="Arial"/>
          <w:sz w:val="20"/>
          <w:szCs w:val="20"/>
        </w:rPr>
        <w:t xml:space="preserve"> </w:t>
      </w:r>
      <w:r w:rsidR="003F6785">
        <w:rPr>
          <w:rFonts w:ascii="Arial" w:hAnsi="Arial" w:cs="Arial"/>
          <w:sz w:val="20"/>
          <w:szCs w:val="20"/>
        </w:rPr>
        <w:t>conséquences écologiques</w:t>
      </w:r>
      <w:r w:rsidR="00EC41C8">
        <w:rPr>
          <w:rFonts w:ascii="Arial" w:hAnsi="Arial" w:cs="Arial"/>
          <w:sz w:val="20"/>
          <w:szCs w:val="20"/>
        </w:rPr>
        <w:t xml:space="preserve">. </w:t>
      </w:r>
    </w:p>
    <w:p w14:paraId="29456B50" w14:textId="77777777" w:rsidR="003D5188" w:rsidRDefault="003D5188"/>
    <w:sectPr w:rsidR="003D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10"/>
    <w:rsid w:val="00066C10"/>
    <w:rsid w:val="000719B2"/>
    <w:rsid w:val="00081981"/>
    <w:rsid w:val="000C2607"/>
    <w:rsid w:val="002E0800"/>
    <w:rsid w:val="003D5188"/>
    <w:rsid w:val="003F6785"/>
    <w:rsid w:val="007842AC"/>
    <w:rsid w:val="00796E56"/>
    <w:rsid w:val="008C41EF"/>
    <w:rsid w:val="00A0777E"/>
    <w:rsid w:val="00A94D7E"/>
    <w:rsid w:val="00BB2150"/>
    <w:rsid w:val="00D5345A"/>
    <w:rsid w:val="00E95256"/>
    <w:rsid w:val="00EC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8BC0"/>
  <w15:chartTrackingRefBased/>
  <w15:docId w15:val="{FD64D8AF-A067-4380-82AC-90675C2F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C10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19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D6E0F-0A61-4954-BC79-F7317DB7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Caen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POINCON DE LA BLANCHARDIERE ARNAUD</dc:creator>
  <cp:keywords/>
  <dc:description/>
  <cp:lastModifiedBy>Christele Cheneau</cp:lastModifiedBy>
  <cp:revision>2</cp:revision>
  <dcterms:created xsi:type="dcterms:W3CDTF">2019-04-05T10:43:00Z</dcterms:created>
  <dcterms:modified xsi:type="dcterms:W3CDTF">2019-04-05T10:43:00Z</dcterms:modified>
</cp:coreProperties>
</file>